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5FE771">
      <w:pPr>
        <w:pStyle w:val="17"/>
        <w:jc w:val="center"/>
        <w:rPr>
          <w:rFonts w:hint="eastAsia" w:ascii="仿宋" w:hAnsi="仿宋" w:eastAsia="仿宋" w:cs="仿宋"/>
          <w:b/>
          <w:bCs/>
          <w:color w:val="auto"/>
          <w:szCs w:val="36"/>
        </w:rPr>
      </w:pPr>
      <w:r>
        <w:rPr>
          <w:rFonts w:hint="eastAsia" w:ascii="仿宋" w:hAnsi="仿宋" w:eastAsia="仿宋" w:cs="仿宋"/>
          <w:b/>
          <w:bCs/>
          <w:color w:val="auto"/>
          <w:szCs w:val="36"/>
        </w:rPr>
        <w:t>海南热带海洋学院旅游管理专业2025年</w:t>
      </w:r>
    </w:p>
    <w:p w14:paraId="024D88FF">
      <w:pPr>
        <w:pStyle w:val="17"/>
        <w:jc w:val="center"/>
        <w:rPr>
          <w:rFonts w:hint="eastAsia" w:ascii="仿宋" w:hAnsi="仿宋" w:eastAsia="仿宋" w:cs="仿宋"/>
          <w:b/>
          <w:bCs/>
          <w:color w:val="auto"/>
          <w:szCs w:val="36"/>
        </w:rPr>
      </w:pPr>
      <w:r>
        <w:rPr>
          <w:rFonts w:hint="eastAsia" w:ascii="仿宋" w:hAnsi="仿宋" w:eastAsia="仿宋" w:cs="仿宋"/>
          <w:b/>
          <w:bCs/>
          <w:color w:val="auto"/>
          <w:szCs w:val="36"/>
        </w:rPr>
        <w:t>硕士研究生复试录取</w:t>
      </w:r>
      <w:r>
        <w:rPr>
          <w:rFonts w:hint="eastAsia" w:ascii="仿宋" w:hAnsi="仿宋" w:eastAsia="仿宋" w:cs="仿宋"/>
          <w:b/>
          <w:bCs/>
          <w:color w:val="auto"/>
          <w:szCs w:val="36"/>
          <w:lang w:val="en-US" w:eastAsia="zh-CN"/>
        </w:rPr>
        <w:t>工作</w:t>
      </w:r>
      <w:r>
        <w:rPr>
          <w:rFonts w:hint="eastAsia" w:ascii="仿宋" w:hAnsi="仿宋" w:eastAsia="仿宋" w:cs="仿宋"/>
          <w:b/>
          <w:bCs/>
          <w:color w:val="auto"/>
          <w:szCs w:val="36"/>
        </w:rPr>
        <w:t>实施细则</w:t>
      </w:r>
    </w:p>
    <w:p w14:paraId="46C27B29">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根据《教育部关于印发</w:t>
      </w:r>
      <w:r>
        <w:rPr>
          <w:rFonts w:hint="eastAsia" w:ascii="仿宋" w:hAnsi="仿宋" w:eastAsia="仿宋" w:cs="仿宋"/>
          <w:color w:val="auto"/>
          <w:sz w:val="30"/>
          <w:szCs w:val="30"/>
        </w:rPr>
        <w:t>&lt;2025年</w:t>
      </w:r>
      <w:r>
        <w:rPr>
          <w:rFonts w:hint="eastAsia" w:ascii="仿宋" w:hAnsi="仿宋" w:eastAsia="仿宋" w:cs="仿宋"/>
          <w:color w:val="auto"/>
          <w:sz w:val="30"/>
          <w:szCs w:val="30"/>
        </w:rPr>
        <w:t>全国硕士研究生招生工作管理规定&gt;的通知》《海南热带海洋学院</w:t>
      </w:r>
      <w:r>
        <w:rPr>
          <w:rFonts w:hint="eastAsia" w:ascii="仿宋" w:hAnsi="仿宋" w:eastAsia="仿宋" w:cs="仿宋"/>
          <w:color w:val="auto"/>
          <w:sz w:val="30"/>
          <w:szCs w:val="30"/>
        </w:rPr>
        <w:t>2025</w:t>
      </w:r>
      <w:r>
        <w:rPr>
          <w:rFonts w:hint="eastAsia" w:ascii="仿宋" w:hAnsi="仿宋" w:eastAsia="仿宋" w:cs="仿宋"/>
          <w:color w:val="auto"/>
          <w:sz w:val="30"/>
          <w:szCs w:val="30"/>
        </w:rPr>
        <w:t>年硕士研究生招生复试录取工作办法》的规定，结合旅游学院实际情况，确保在安全性、公平性和科学性基础上做好</w:t>
      </w:r>
      <w:r>
        <w:rPr>
          <w:rFonts w:hint="eastAsia" w:ascii="仿宋" w:hAnsi="仿宋" w:eastAsia="仿宋" w:cs="仿宋"/>
          <w:color w:val="auto"/>
          <w:sz w:val="30"/>
          <w:szCs w:val="30"/>
        </w:rPr>
        <w:t>2025</w:t>
      </w:r>
      <w:r>
        <w:rPr>
          <w:rFonts w:hint="eastAsia" w:ascii="仿宋" w:hAnsi="仿宋" w:eastAsia="仿宋" w:cs="仿宋"/>
          <w:color w:val="auto"/>
          <w:sz w:val="30"/>
          <w:szCs w:val="30"/>
        </w:rPr>
        <w:t>年旅游管理专业硕士学位研究生复试录取工作，特制定本细则。</w:t>
      </w:r>
    </w:p>
    <w:p w14:paraId="1410260A">
      <w:pPr>
        <w:pStyle w:val="4"/>
        <w:numPr>
          <w:ilvl w:val="0"/>
          <w:numId w:val="1"/>
        </w:numPr>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复试工作的组织与管理</w:t>
      </w:r>
    </w:p>
    <w:p w14:paraId="3770FA61">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成立旅游学院硕士研究生招生复试工作领导小组，在校研究生招生领导小组统一领导下，具体组织实施复试各项工作，并加强对本单位各专业复试工作的领导和监督。</w:t>
      </w:r>
    </w:p>
    <w:p w14:paraId="520E239D">
      <w:pPr>
        <w:pStyle w:val="5"/>
        <w:numPr>
          <w:ilvl w:val="0"/>
          <w:numId w:val="2"/>
        </w:numPr>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专家组</w:t>
      </w:r>
    </w:p>
    <w:p w14:paraId="4DBAA570">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根据本专业特点，成立</w:t>
      </w:r>
      <w:r>
        <w:rPr>
          <w:rFonts w:hint="eastAsia" w:ascii="仿宋" w:hAnsi="仿宋" w:eastAsia="仿宋" w:cs="仿宋"/>
          <w:color w:val="auto"/>
          <w:sz w:val="30"/>
          <w:szCs w:val="30"/>
        </w:rPr>
        <w:t>5个</w:t>
      </w:r>
      <w:r>
        <w:rPr>
          <w:rFonts w:hint="eastAsia" w:ascii="仿宋" w:hAnsi="仿宋" w:eastAsia="仿宋" w:cs="仿宋"/>
          <w:color w:val="auto"/>
          <w:sz w:val="30"/>
          <w:szCs w:val="30"/>
        </w:rPr>
        <w:t>复试小组，复试小组由本学院副教授（或博士）及以上专技教师组成，成员原则上不少于5人（含1名英语水平较好的教师），其中组长1名，另配备秘书</w:t>
      </w:r>
      <w:r>
        <w:rPr>
          <w:rFonts w:hint="eastAsia" w:ascii="宋体" w:hAnsi="宋体" w:cs="宋体"/>
          <w:color w:val="auto"/>
          <w:sz w:val="28"/>
          <w:szCs w:val="28"/>
        </w:rPr>
        <w:t>1名，</w:t>
      </w:r>
      <w:r>
        <w:rPr>
          <w:rFonts w:hint="eastAsia" w:ascii="仿宋" w:hAnsi="仿宋" w:eastAsia="仿宋" w:cs="仿宋"/>
          <w:color w:val="auto"/>
          <w:sz w:val="30"/>
          <w:szCs w:val="30"/>
        </w:rPr>
        <w:t>专家组主要负责对考生进行实践能力等综合素质面试考核。</w:t>
      </w:r>
    </w:p>
    <w:p w14:paraId="5B8E4B17">
      <w:pPr>
        <w:pStyle w:val="5"/>
        <w:numPr>
          <w:ilvl w:val="0"/>
          <w:numId w:val="2"/>
        </w:numPr>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协调组</w:t>
      </w:r>
    </w:p>
    <w:p w14:paraId="33AEA139">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协调组设定组长1名、秘书1名、助理1名，主要负责复试的宣传组织、协调、考生材料收取和审核、复试记录等相关工作。协调组成员需熟悉复试工作的基本规范与复试流程。</w:t>
      </w:r>
    </w:p>
    <w:p w14:paraId="40F190E7">
      <w:pPr>
        <w:pStyle w:val="2"/>
        <w:numPr>
          <w:ilvl w:val="0"/>
          <w:numId w:val="2"/>
        </w:numPr>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注意事项</w:t>
      </w:r>
    </w:p>
    <w:p w14:paraId="20B92529">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当年有直系亲属参加研究生考试的教职工，须回避本年度的研究生招生各项工作。</w:t>
      </w:r>
    </w:p>
    <w:p w14:paraId="08700BC7">
      <w:pPr>
        <w:pStyle w:val="2"/>
        <w:numPr>
          <w:ilvl w:val="0"/>
          <w:numId w:val="2"/>
        </w:numPr>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突发事故处理</w:t>
      </w:r>
    </w:p>
    <w:p w14:paraId="08CC3F90">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 xml:space="preserve"> 复试期间，考场若发生因极端天气或者其他不可控因素（如停电、恶劣天气等）影响开考或造成考试突然中断的情况，旅游学院保留解释权利。</w:t>
      </w:r>
    </w:p>
    <w:p w14:paraId="5EFC09AA">
      <w:pPr>
        <w:pStyle w:val="3"/>
        <w:numPr>
          <w:ilvl w:val="0"/>
          <w:numId w:val="1"/>
        </w:numPr>
        <w:ind w:firstLine="602" w:firstLineChars="200"/>
        <w:rPr>
          <w:rFonts w:hint="eastAsia" w:ascii="仿宋" w:hAnsi="仿宋" w:eastAsia="仿宋" w:cs="仿宋"/>
          <w:b/>
          <w:bCs/>
          <w:i w:val="0"/>
          <w:iCs w:val="0"/>
          <w:color w:val="auto"/>
          <w:kern w:val="44"/>
          <w:sz w:val="30"/>
          <w:szCs w:val="30"/>
          <w:lang w:val="en-US" w:eastAsia="zh-CN"/>
        </w:rPr>
      </w:pPr>
      <w:r>
        <w:rPr>
          <w:rFonts w:hint="eastAsia" w:ascii="仿宋" w:hAnsi="仿宋" w:eastAsia="仿宋" w:cs="仿宋"/>
          <w:b/>
          <w:bCs/>
          <w:i w:val="0"/>
          <w:iCs w:val="0"/>
          <w:color w:val="auto"/>
          <w:kern w:val="44"/>
          <w:sz w:val="30"/>
          <w:szCs w:val="30"/>
          <w:lang w:val="en-US" w:eastAsia="zh-CN"/>
        </w:rPr>
        <w:t>复试名单的确立</w:t>
      </w:r>
    </w:p>
    <w:p w14:paraId="791ECE31">
      <w:pPr>
        <w:pStyle w:val="2"/>
        <w:spacing w:line="600" w:lineRule="exact"/>
        <w:ind w:firstLine="600"/>
        <w:rPr>
          <w:rFonts w:hint="eastAsia" w:ascii="仿宋" w:hAnsi="仿宋" w:eastAsia="仿宋" w:cs="仿宋"/>
          <w:color w:val="auto"/>
          <w:sz w:val="30"/>
          <w:szCs w:val="30"/>
          <w:u w:val="none"/>
        </w:rPr>
      </w:pPr>
      <w:r>
        <w:rPr>
          <w:rFonts w:hint="eastAsia" w:ascii="仿宋" w:hAnsi="仿宋" w:eastAsia="仿宋" w:cs="仿宋"/>
          <w:color w:val="auto"/>
          <w:sz w:val="30"/>
          <w:szCs w:val="30"/>
          <w:u w:val="none"/>
        </w:rPr>
        <w:t>按考生初试成绩从高到低确定复试名单。实行差额复试，差额比例</w:t>
      </w:r>
      <w:r>
        <w:rPr>
          <w:rFonts w:hint="eastAsia" w:ascii="仿宋" w:hAnsi="仿宋" w:eastAsia="仿宋" w:cs="仿宋"/>
          <w:color w:val="auto"/>
          <w:sz w:val="30"/>
          <w:szCs w:val="30"/>
          <w:u w:val="none"/>
          <w:lang w:val="en-US" w:eastAsia="zh-CN"/>
        </w:rPr>
        <w:t>为</w:t>
      </w:r>
      <w:r>
        <w:rPr>
          <w:rFonts w:hint="eastAsia" w:ascii="仿宋" w:hAnsi="仿宋" w:eastAsia="仿宋" w:cs="仿宋"/>
          <w:color w:val="auto"/>
          <w:sz w:val="30"/>
          <w:szCs w:val="30"/>
          <w:u w:val="none"/>
        </w:rPr>
        <w:t>180%，</w:t>
      </w:r>
      <w:r>
        <w:rPr>
          <w:rFonts w:hint="eastAsia" w:ascii="仿宋" w:hAnsi="仿宋" w:eastAsia="仿宋" w:cs="仿宋"/>
          <w:color w:val="auto"/>
          <w:sz w:val="30"/>
          <w:szCs w:val="30"/>
          <w:u w:val="none"/>
        </w:rPr>
        <w:t>第一志愿上线人数</w:t>
      </w:r>
      <w:r>
        <w:rPr>
          <w:rFonts w:hint="eastAsia" w:ascii="仿宋" w:hAnsi="仿宋" w:eastAsia="仿宋" w:cs="仿宋"/>
          <w:color w:val="auto"/>
          <w:sz w:val="30"/>
          <w:szCs w:val="30"/>
          <w:u w:val="none"/>
        </w:rPr>
        <w:t>小于180%按实际上线人数安排复试。</w:t>
      </w:r>
    </w:p>
    <w:p w14:paraId="00DF74C8">
      <w:pPr>
        <w:pStyle w:val="2"/>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三、</w:t>
      </w:r>
      <w:r>
        <w:rPr>
          <w:rFonts w:hint="eastAsia" w:ascii="仿宋" w:hAnsi="仿宋" w:eastAsia="仿宋" w:cs="仿宋"/>
          <w:b/>
          <w:bCs/>
          <w:color w:val="auto"/>
          <w:sz w:val="30"/>
          <w:szCs w:val="30"/>
        </w:rPr>
        <w:t>考生资格审核</w:t>
      </w:r>
    </w:p>
    <w:p w14:paraId="043D3DEC">
      <w:pPr>
        <w:pStyle w:val="2"/>
        <w:spacing w:line="600" w:lineRule="exact"/>
        <w:ind w:firstLine="600"/>
        <w:rPr>
          <w:color w:val="auto"/>
        </w:rPr>
      </w:pPr>
      <w:r>
        <w:rPr>
          <w:rFonts w:hint="eastAsia" w:ascii="仿宋" w:hAnsi="仿宋" w:eastAsia="仿宋" w:cs="仿宋"/>
          <w:color w:val="auto"/>
          <w:sz w:val="30"/>
          <w:szCs w:val="30"/>
        </w:rPr>
        <w:t>请考生收到复试通知后2个工作日内，将如下资格审核材料扫描件打包压缩（压缩包不超过50MB)，按照</w:t>
      </w:r>
      <w:r>
        <w:rPr>
          <w:rFonts w:hint="eastAsia" w:ascii="仿宋" w:hAnsi="仿宋" w:eastAsia="仿宋" w:cs="仿宋"/>
          <w:color w:val="auto"/>
          <w:sz w:val="30"/>
          <w:szCs w:val="30"/>
        </w:rPr>
        <w:t>“考生姓名+复试资格审查材料清单”</w:t>
      </w:r>
      <w:r>
        <w:rPr>
          <w:rFonts w:hint="eastAsia" w:ascii="仿宋" w:hAnsi="仿宋" w:eastAsia="仿宋" w:cs="仿宋"/>
          <w:color w:val="auto"/>
          <w:sz w:val="30"/>
          <w:szCs w:val="30"/>
        </w:rPr>
        <w:t>命名并作为邮件主题，发送至邮箱：qzumta@163.com。资格审查不合格者，不能参加复试。</w:t>
      </w:r>
      <w:r>
        <w:rPr>
          <w:rFonts w:hint="eastAsia" w:ascii="仿宋" w:hAnsi="仿宋" w:eastAsia="仿宋" w:cs="仿宋"/>
          <w:color w:val="auto"/>
          <w:sz w:val="30"/>
          <w:szCs w:val="30"/>
        </w:rPr>
        <w:t>并于3月28日、3月29日</w:t>
      </w:r>
      <w:r>
        <w:rPr>
          <w:rFonts w:hint="eastAsia" w:ascii="仿宋" w:hAnsi="仿宋" w:eastAsia="仿宋" w:cs="仿宋"/>
          <w:color w:val="auto"/>
          <w:sz w:val="30"/>
          <w:szCs w:val="30"/>
        </w:rPr>
        <w:t>在海南热带海洋学院7栋207办公室进行复试报到，交验相关材料原件（具体时间另行通知）。</w:t>
      </w:r>
    </w:p>
    <w:p w14:paraId="2F5990A0">
      <w:pPr>
        <w:pStyle w:val="2"/>
        <w:numPr>
          <w:ilvl w:val="0"/>
          <w:numId w:val="3"/>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初试准考证（原件丢失者可在研招网下载）。</w:t>
      </w:r>
    </w:p>
    <w:p w14:paraId="239C6F50">
      <w:pPr>
        <w:pStyle w:val="2"/>
        <w:numPr>
          <w:ilvl w:val="0"/>
          <w:numId w:val="3"/>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本人填写并签名的《</w:t>
      </w:r>
      <w:r>
        <w:rPr>
          <w:rFonts w:hint="eastAsia" w:ascii="仿宋" w:hAnsi="仿宋" w:eastAsia="仿宋" w:cs="仿宋"/>
          <w:color w:val="auto"/>
          <w:sz w:val="30"/>
          <w:szCs w:val="30"/>
          <w:lang w:val="en-US" w:eastAsia="zh-CN"/>
        </w:rPr>
        <w:t>诚信复试</w:t>
      </w:r>
      <w:r>
        <w:rPr>
          <w:rFonts w:hint="eastAsia" w:ascii="仿宋" w:hAnsi="仿宋" w:eastAsia="仿宋" w:cs="仿宋"/>
          <w:color w:val="auto"/>
          <w:sz w:val="30"/>
          <w:szCs w:val="30"/>
        </w:rPr>
        <w:t>承诺书》。</w:t>
      </w:r>
    </w:p>
    <w:p w14:paraId="4C5AFAFB">
      <w:pPr>
        <w:pStyle w:val="2"/>
        <w:numPr>
          <w:ilvl w:val="0"/>
          <w:numId w:val="3"/>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本人有效身份证。</w:t>
      </w:r>
    </w:p>
    <w:p w14:paraId="743FD351">
      <w:pPr>
        <w:pStyle w:val="2"/>
        <w:numPr>
          <w:ilvl w:val="0"/>
          <w:numId w:val="3"/>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往届本科生提供毕业证、学位证、《教育部学历证书电子注册备案表》；同等学力考生提供大专毕业证书或本科结业证书及《教育部学历证书电子注册备案表》；成人高校应届本科毕业生提供在学证明、《教育部学籍在线验证报告》 (有效期截止为</w:t>
      </w:r>
      <w:r>
        <w:rPr>
          <w:rFonts w:hint="eastAsia" w:ascii="仿宋" w:hAnsi="仿宋" w:eastAsia="仿宋" w:cs="仿宋"/>
          <w:color w:val="auto"/>
          <w:sz w:val="30"/>
          <w:szCs w:val="30"/>
        </w:rPr>
        <w:t>2025年5月30日</w:t>
      </w:r>
      <w:r>
        <w:rPr>
          <w:rFonts w:hint="eastAsia" w:ascii="仿宋" w:hAnsi="仿宋" w:eastAsia="仿宋" w:cs="仿宋"/>
          <w:color w:val="auto"/>
          <w:sz w:val="30"/>
          <w:szCs w:val="30"/>
        </w:rPr>
        <w:t>)； 国（境）外获 得学历、学位的须出示由教育部留学服务中心出具的国外学历学位认证书，获得学历、学位时间以认证书上认定的时间为准。说明：报考旅游管理的本科毕业生，其本科毕业证书应在</w:t>
      </w:r>
      <w:r>
        <w:rPr>
          <w:rFonts w:hint="eastAsia" w:ascii="仿宋" w:hAnsi="仿宋" w:eastAsia="仿宋" w:cs="仿宋"/>
          <w:color w:val="auto"/>
          <w:sz w:val="30"/>
          <w:szCs w:val="30"/>
        </w:rPr>
        <w:t xml:space="preserve"> 2022年9月1日前颁发。专科毕业证应在2020年9月1日前颁发。</w:t>
      </w:r>
    </w:p>
    <w:p w14:paraId="423A1DB4">
      <w:pPr>
        <w:pStyle w:val="2"/>
        <w:numPr>
          <w:ilvl w:val="0"/>
          <w:numId w:val="3"/>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《海南热带海洋学院研究生招生考试思想品德考察表》。</w:t>
      </w:r>
    </w:p>
    <w:p w14:paraId="236727A3">
      <w:pPr>
        <w:pStyle w:val="2"/>
        <w:numPr>
          <w:ilvl w:val="0"/>
          <w:numId w:val="3"/>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申请享受初试加分政策的考生，交验相关证明原件。具体加分资格及证件如下：</w:t>
      </w:r>
    </w:p>
    <w:p w14:paraId="3908B2B2">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（1）参加“大学生志愿服务西部计划”“三支一扶计划”“农村义务教育阶段学校教师特设岗位计划”“</w:t>
      </w:r>
      <w:r>
        <w:rPr>
          <w:rFonts w:hint="eastAsia" w:ascii="仿宋_GB2312" w:hAnsi="仿宋_GB2312" w:eastAsia="仿宋_GB2312" w:cs="仿宋_GB2312"/>
          <w:color w:val="auto"/>
          <w:sz w:val="30"/>
          <w:szCs w:val="30"/>
          <w:lang w:val="en-US" w:eastAsia="zh-CN"/>
        </w:rPr>
        <w:t>国际中文教育</w:t>
      </w:r>
      <w:r>
        <w:rPr>
          <w:rFonts w:hint="eastAsia" w:ascii="仿宋_GB2312" w:hAnsi="仿宋_GB2312" w:eastAsia="仿宋_GB2312" w:cs="仿宋_GB2312"/>
          <w:color w:val="auto"/>
          <w:sz w:val="30"/>
          <w:szCs w:val="30"/>
        </w:rPr>
        <w:t>志愿者”</w:t>
      </w:r>
      <w:r>
        <w:rPr>
          <w:rFonts w:hint="eastAsia" w:ascii="仿宋_GB2312" w:hAnsi="仿宋_GB2312" w:eastAsia="仿宋_GB2312" w:cs="仿宋_GB2312"/>
          <w:color w:val="auto"/>
          <w:sz w:val="30"/>
          <w:szCs w:val="30"/>
          <w:lang w:val="en-US" w:eastAsia="zh-CN"/>
        </w:rPr>
        <w:t>服务项目之一，服务</w:t>
      </w:r>
      <w:r>
        <w:rPr>
          <w:rFonts w:hint="eastAsia" w:ascii="仿宋_GB2312" w:hAnsi="仿宋_GB2312" w:eastAsia="仿宋_GB2312" w:cs="仿宋_GB2312"/>
          <w:color w:val="auto"/>
          <w:sz w:val="30"/>
          <w:szCs w:val="30"/>
        </w:rPr>
        <w:t>期满</w:t>
      </w:r>
      <w:r>
        <w:rPr>
          <w:rFonts w:hint="eastAsia" w:ascii="仿宋_GB2312" w:hAnsi="仿宋_GB2312" w:eastAsia="仿宋_GB2312" w:cs="仿宋_GB2312"/>
          <w:color w:val="auto"/>
          <w:sz w:val="30"/>
          <w:szCs w:val="30"/>
          <w:lang w:val="en-US" w:eastAsia="zh-CN"/>
        </w:rPr>
        <w:t>且</w:t>
      </w:r>
      <w:r>
        <w:rPr>
          <w:rFonts w:hint="eastAsia" w:ascii="仿宋_GB2312" w:hAnsi="仿宋_GB2312" w:eastAsia="仿宋_GB2312" w:cs="仿宋_GB2312"/>
          <w:color w:val="auto"/>
          <w:sz w:val="30"/>
          <w:szCs w:val="30"/>
        </w:rPr>
        <w:t>考核合格的考生，</w:t>
      </w:r>
      <w:r>
        <w:rPr>
          <w:rFonts w:hint="eastAsia" w:ascii="仿宋_GB2312" w:hAnsi="仿宋_GB2312" w:eastAsia="仿宋_GB2312" w:cs="仿宋_GB2312"/>
          <w:b/>
          <w:bCs/>
          <w:color w:val="auto"/>
          <w:sz w:val="30"/>
          <w:szCs w:val="30"/>
        </w:rPr>
        <w:t>3年内</w:t>
      </w:r>
      <w:r>
        <w:rPr>
          <w:rFonts w:hint="eastAsia" w:ascii="仿宋_GB2312" w:hAnsi="仿宋_GB2312" w:eastAsia="仿宋_GB2312" w:cs="仿宋_GB2312"/>
          <w:b w:val="0"/>
          <w:bCs w:val="0"/>
          <w:color w:val="auto"/>
          <w:sz w:val="30"/>
          <w:szCs w:val="30"/>
          <w:lang w:val="en-US" w:eastAsia="zh-CN"/>
        </w:rPr>
        <w:t>报名</w:t>
      </w:r>
      <w:r>
        <w:rPr>
          <w:rFonts w:hint="eastAsia" w:ascii="仿宋_GB2312" w:hAnsi="仿宋_GB2312" w:eastAsia="仿宋_GB2312" w:cs="仿宋_GB2312"/>
          <w:b w:val="0"/>
          <w:bCs w:val="0"/>
          <w:color w:val="auto"/>
          <w:sz w:val="30"/>
          <w:szCs w:val="30"/>
        </w:rPr>
        <w:t>参</w:t>
      </w:r>
      <w:r>
        <w:rPr>
          <w:rFonts w:hint="eastAsia" w:ascii="仿宋_GB2312" w:hAnsi="仿宋_GB2312" w:eastAsia="仿宋_GB2312" w:cs="仿宋_GB2312"/>
          <w:color w:val="auto"/>
          <w:sz w:val="30"/>
          <w:szCs w:val="30"/>
        </w:rPr>
        <w:t>加全国硕士研究生招生考试的，</w:t>
      </w:r>
      <w:r>
        <w:rPr>
          <w:rFonts w:hint="eastAsia" w:ascii="仿宋_GB2312" w:hAnsi="仿宋_GB2312" w:eastAsia="仿宋_GB2312" w:cs="仿宋_GB2312"/>
          <w:b/>
          <w:bCs/>
          <w:color w:val="auto"/>
          <w:sz w:val="30"/>
          <w:szCs w:val="30"/>
          <w:lang w:val="en-US" w:eastAsia="zh-CN"/>
        </w:rPr>
        <w:t>享受</w:t>
      </w:r>
      <w:r>
        <w:rPr>
          <w:rFonts w:hint="eastAsia" w:ascii="仿宋_GB2312" w:hAnsi="仿宋_GB2312" w:eastAsia="仿宋_GB2312" w:cs="仿宋_GB2312"/>
          <w:b/>
          <w:bCs/>
          <w:color w:val="auto"/>
          <w:sz w:val="30"/>
          <w:szCs w:val="30"/>
        </w:rPr>
        <w:t>初试总分加10分</w:t>
      </w:r>
      <w:r>
        <w:rPr>
          <w:rFonts w:hint="eastAsia" w:ascii="仿宋_GB2312" w:hAnsi="仿宋_GB2312" w:eastAsia="仿宋_GB2312" w:cs="仿宋_GB2312"/>
          <w:color w:val="auto"/>
          <w:sz w:val="30"/>
          <w:szCs w:val="30"/>
        </w:rPr>
        <w:t>，同等条件下优先录取。</w:t>
      </w:r>
    </w:p>
    <w:p w14:paraId="25183AB9">
      <w:pPr>
        <w:keepNext w:val="0"/>
        <w:keepLines w:val="0"/>
        <w:pageBreakBefore w:val="0"/>
        <w:kinsoku/>
        <w:wordWrap/>
        <w:overflowPunct/>
        <w:topLinePunct w:val="0"/>
        <w:autoSpaceDE/>
        <w:autoSpaceDN/>
        <w:bidi w:val="0"/>
        <w:adjustRightInd/>
        <w:snapToGrid/>
        <w:spacing w:line="540" w:lineRule="exact"/>
        <w:ind w:firstLine="602"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b/>
          <w:bCs/>
          <w:color w:val="auto"/>
          <w:sz w:val="30"/>
          <w:szCs w:val="30"/>
          <w:lang w:val="en-US" w:eastAsia="zh-CN"/>
        </w:rPr>
        <w:t>符合以上条件的考生</w:t>
      </w:r>
      <w:r>
        <w:rPr>
          <w:rFonts w:hint="eastAsia" w:ascii="仿宋_GB2312" w:hAnsi="仿宋_GB2312" w:eastAsia="仿宋_GB2312" w:cs="仿宋_GB2312"/>
          <w:b/>
          <w:bCs/>
          <w:color w:val="auto"/>
          <w:sz w:val="30"/>
          <w:szCs w:val="30"/>
        </w:rPr>
        <w:t>需提供有效年限内的、相关部门签章完整项目书、合同（协议）、任职期满考核</w:t>
      </w:r>
      <w:r>
        <w:rPr>
          <w:rFonts w:hint="eastAsia" w:ascii="仿宋_GB2312" w:hAnsi="仿宋_GB2312" w:eastAsia="仿宋_GB2312" w:cs="仿宋_GB2312"/>
          <w:b/>
          <w:bCs/>
          <w:color w:val="auto"/>
          <w:sz w:val="30"/>
          <w:szCs w:val="30"/>
          <w:lang w:val="en-US" w:eastAsia="zh-CN"/>
        </w:rPr>
        <w:t>表</w:t>
      </w:r>
      <w:r>
        <w:rPr>
          <w:rFonts w:hint="eastAsia" w:ascii="仿宋_GB2312" w:hAnsi="仿宋_GB2312" w:eastAsia="仿宋_GB2312" w:cs="仿宋_GB2312"/>
          <w:b/>
          <w:bCs/>
          <w:color w:val="auto"/>
          <w:sz w:val="30"/>
          <w:szCs w:val="30"/>
        </w:rPr>
        <w:t>等。</w:t>
      </w:r>
    </w:p>
    <w:p w14:paraId="619C274E">
      <w:pPr>
        <w:keepNext w:val="0"/>
        <w:keepLines w:val="0"/>
        <w:pageBreakBefore w:val="0"/>
        <w:numPr>
          <w:ilvl w:val="0"/>
          <w:numId w:val="4"/>
        </w:numPr>
        <w:kinsoku/>
        <w:wordWrap/>
        <w:overflowPunct/>
        <w:topLinePunct w:val="0"/>
        <w:autoSpaceDE/>
        <w:autoSpaceDN/>
        <w:bidi w:val="0"/>
        <w:adjustRightInd/>
        <w:snapToGrid/>
        <w:spacing w:line="540" w:lineRule="exact"/>
        <w:ind w:firstLine="600" w:firstLineChars="200"/>
        <w:textAlignment w:val="auto"/>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lang w:val="en-US" w:eastAsia="zh-CN"/>
        </w:rPr>
        <w:t>退役大学生士兵</w:t>
      </w:r>
      <w:r>
        <w:rPr>
          <w:rFonts w:hint="eastAsia" w:ascii="仿宋_GB2312" w:hAnsi="仿宋_GB2312" w:eastAsia="仿宋_GB2312" w:cs="仿宋_GB2312"/>
          <w:color w:val="auto"/>
          <w:sz w:val="30"/>
          <w:szCs w:val="30"/>
        </w:rPr>
        <w:t>达到报考条件后，3年内参加全国硕士研究生招生考试的考生，初试总分加10分，同等条件下优先录取。</w:t>
      </w:r>
    </w:p>
    <w:p w14:paraId="7CC615D0">
      <w:pPr>
        <w:pStyle w:val="2"/>
        <w:numPr>
          <w:ilvl w:val="-1"/>
          <w:numId w:val="0"/>
        </w:numPr>
        <w:spacing w:line="600" w:lineRule="exact"/>
        <w:ind w:left="630" w:firstLine="0" w:firstLineChars="0"/>
        <w:rPr>
          <w:rFonts w:hint="eastAsia" w:ascii="仿宋" w:hAnsi="仿宋" w:eastAsia="仿宋" w:cs="仿宋"/>
          <w:color w:val="auto"/>
          <w:sz w:val="30"/>
          <w:szCs w:val="30"/>
        </w:rPr>
      </w:pPr>
      <w:r>
        <w:rPr>
          <w:rFonts w:hint="eastAsia" w:ascii="仿宋_GB2312" w:hAnsi="仿宋_GB2312" w:eastAsia="仿宋_GB2312" w:cs="仿宋_GB2312"/>
          <w:b/>
          <w:bCs/>
          <w:color w:val="auto"/>
          <w:sz w:val="30"/>
          <w:szCs w:val="30"/>
        </w:rPr>
        <w:t>需提供有效年限内的《入伍批准书》与《退</w:t>
      </w:r>
      <w:r>
        <w:rPr>
          <w:rFonts w:hint="eastAsia" w:ascii="仿宋_GB2312" w:hAnsi="仿宋_GB2312" w:eastAsia="仿宋_GB2312" w:cs="仿宋_GB2312"/>
          <w:b/>
          <w:bCs/>
          <w:color w:val="auto"/>
          <w:sz w:val="30"/>
          <w:szCs w:val="30"/>
          <w:lang w:val="en-US" w:eastAsia="zh-CN"/>
        </w:rPr>
        <w:t>出现</w:t>
      </w:r>
      <w:r>
        <w:rPr>
          <w:rFonts w:hint="eastAsia" w:ascii="仿宋_GB2312" w:hAnsi="仿宋_GB2312" w:eastAsia="仿宋_GB2312" w:cs="仿宋_GB2312"/>
          <w:b/>
          <w:bCs/>
          <w:color w:val="auto"/>
          <w:sz w:val="30"/>
          <w:szCs w:val="30"/>
        </w:rPr>
        <w:t>役证》。</w:t>
      </w:r>
    </w:p>
    <w:p w14:paraId="3DBE011B">
      <w:pPr>
        <w:pStyle w:val="5"/>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说明</w:t>
      </w:r>
    </w:p>
    <w:p w14:paraId="5650D4E8">
      <w:pPr>
        <w:pStyle w:val="2"/>
        <w:numPr>
          <w:ilvl w:val="0"/>
          <w:numId w:val="5"/>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上述所有证明材料原则上都要提供原件，若因特殊原因，暂时不能提供原件，需提供合理的情况说明。</w:t>
      </w:r>
    </w:p>
    <w:p w14:paraId="7F1EB29A">
      <w:pPr>
        <w:pStyle w:val="2"/>
        <w:numPr>
          <w:ilvl w:val="0"/>
          <w:numId w:val="5"/>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退出现役证、入伍批准书，仅报考“退役大学生士兵”专项计划的考生提供。</w:t>
      </w:r>
    </w:p>
    <w:p w14:paraId="28073620">
      <w:pPr>
        <w:pStyle w:val="2"/>
        <w:numPr>
          <w:ilvl w:val="0"/>
          <w:numId w:val="5"/>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考生获得的各种奖项证书、专利证书、发表论文、出版著作等也可自愿提供。</w:t>
      </w:r>
    </w:p>
    <w:p w14:paraId="4935C3A1">
      <w:pPr>
        <w:pStyle w:val="4"/>
        <w:numPr>
          <w:ilvl w:val="-1"/>
          <w:numId w:val="0"/>
        </w:numPr>
        <w:spacing w:line="600" w:lineRule="exact"/>
        <w:ind w:leftChars="200" w:firstLine="301" w:firstLineChars="10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四、</w:t>
      </w:r>
      <w:r>
        <w:rPr>
          <w:rFonts w:hint="eastAsia" w:ascii="仿宋" w:hAnsi="仿宋" w:eastAsia="仿宋" w:cs="仿宋"/>
          <w:b/>
          <w:bCs/>
          <w:color w:val="auto"/>
          <w:sz w:val="30"/>
          <w:szCs w:val="30"/>
        </w:rPr>
        <w:t>复试方式与内容</w:t>
      </w:r>
    </w:p>
    <w:p w14:paraId="3E5C5AA8">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复试主要考查考生的创新能力、专业素养和综合素质等。本学院采用</w:t>
      </w:r>
      <w:r>
        <w:rPr>
          <w:rFonts w:hint="eastAsia" w:ascii="仿宋" w:hAnsi="仿宋" w:eastAsia="仿宋" w:cs="仿宋"/>
          <w:color w:val="auto"/>
          <w:sz w:val="30"/>
          <w:szCs w:val="30"/>
          <w:lang w:val="en-US" w:eastAsia="zh-CN"/>
        </w:rPr>
        <w:t>线下</w:t>
      </w:r>
      <w:r>
        <w:rPr>
          <w:rFonts w:hint="eastAsia" w:ascii="仿宋" w:hAnsi="仿宋" w:eastAsia="仿宋" w:cs="仿宋"/>
          <w:color w:val="auto"/>
          <w:sz w:val="30"/>
          <w:szCs w:val="30"/>
        </w:rPr>
        <w:t>现场复试形式，主要方式为笔试、面试等，一志愿考生复试时间</w:t>
      </w:r>
      <w:r>
        <w:rPr>
          <w:rFonts w:hint="eastAsia" w:ascii="仿宋" w:hAnsi="仿宋" w:eastAsia="仿宋" w:cs="仿宋"/>
          <w:b/>
          <w:bCs/>
          <w:color w:val="auto"/>
          <w:sz w:val="30"/>
          <w:szCs w:val="30"/>
        </w:rPr>
        <w:t>拟定于3月下旬4月初，</w:t>
      </w:r>
      <w:r>
        <w:rPr>
          <w:rFonts w:hint="eastAsia" w:ascii="仿宋" w:hAnsi="仿宋" w:eastAsia="仿宋" w:cs="仿宋"/>
          <w:color w:val="auto"/>
          <w:sz w:val="30"/>
          <w:szCs w:val="30"/>
        </w:rPr>
        <w:t>具体时间另行通知。</w:t>
      </w:r>
    </w:p>
    <w:p w14:paraId="0DF49D46">
      <w:pPr>
        <w:pStyle w:val="5"/>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（一）复试内容</w:t>
      </w:r>
    </w:p>
    <w:p w14:paraId="7968E1C9">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复试成绩满分为100分，具体内容如下：</w:t>
      </w:r>
    </w:p>
    <w:p w14:paraId="4412F6CD">
      <w:pPr>
        <w:pStyle w:val="6"/>
        <w:spacing w:line="600" w:lineRule="exact"/>
        <w:ind w:firstLine="600" w:firstLineChars="200"/>
        <w:rPr>
          <w:rFonts w:hint="eastAsia" w:ascii="仿宋" w:hAnsi="仿宋" w:eastAsia="仿宋" w:cs="仿宋"/>
          <w:color w:val="auto"/>
          <w:szCs w:val="30"/>
        </w:rPr>
      </w:pPr>
      <w:r>
        <w:rPr>
          <w:rFonts w:hint="eastAsia" w:ascii="仿宋" w:hAnsi="仿宋" w:eastAsia="仿宋" w:cs="仿宋"/>
          <w:color w:val="auto"/>
          <w:szCs w:val="30"/>
        </w:rPr>
        <w:t>1.政治笔试（复试占比40%）</w:t>
      </w:r>
    </w:p>
    <w:p w14:paraId="249B4A3E">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考试时长为2小时，闭卷考试，满分100分，具体考试时间另行通知。</w:t>
      </w:r>
    </w:p>
    <w:p w14:paraId="77CC22CB">
      <w:pPr>
        <w:pStyle w:val="6"/>
        <w:spacing w:line="600" w:lineRule="exact"/>
        <w:ind w:firstLine="600" w:firstLineChars="200"/>
        <w:rPr>
          <w:rFonts w:hint="eastAsia" w:ascii="仿宋" w:hAnsi="仿宋" w:eastAsia="仿宋" w:cs="仿宋"/>
          <w:color w:val="auto"/>
          <w:szCs w:val="30"/>
        </w:rPr>
      </w:pPr>
      <w:r>
        <w:rPr>
          <w:rFonts w:hint="eastAsia" w:ascii="仿宋" w:hAnsi="仿宋" w:eastAsia="仿宋" w:cs="仿宋"/>
          <w:color w:val="auto"/>
          <w:szCs w:val="30"/>
        </w:rPr>
        <w:t>2.面试内容与评分标准（复试占比60%）</w:t>
      </w:r>
    </w:p>
    <w:p w14:paraId="6B94D954">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面试内容与评分标准：①英语口语、听力，主要考察考生基本的外国语听说能力（复试占比 20%）； ②专业知识及基本技能，主要</w:t>
      </w:r>
      <w:r>
        <w:rPr>
          <w:rFonts w:hint="eastAsia" w:ascii="仿宋" w:hAnsi="仿宋" w:eastAsia="仿宋" w:cs="仿宋"/>
          <w:color w:val="auto"/>
          <w:sz w:val="30"/>
          <w:szCs w:val="30"/>
        </w:rPr>
        <w:t>考查考生的专业知识水平及潜在能力素质</w:t>
      </w:r>
      <w:r>
        <w:rPr>
          <w:rFonts w:hint="eastAsia" w:ascii="仿宋" w:hAnsi="仿宋" w:eastAsia="仿宋" w:cs="仿宋"/>
          <w:color w:val="auto"/>
          <w:sz w:val="30"/>
          <w:szCs w:val="30"/>
        </w:rPr>
        <w:t>（复试占比20%）；③综合素质和能力，</w:t>
      </w:r>
      <w:r>
        <w:rPr>
          <w:rFonts w:hint="eastAsia" w:ascii="仿宋" w:hAnsi="仿宋" w:eastAsia="仿宋" w:cs="仿宋"/>
          <w:color w:val="auto"/>
          <w:sz w:val="30"/>
          <w:szCs w:val="30"/>
        </w:rPr>
        <w:t>主要考察考生的综合素质与能力</w:t>
      </w:r>
      <w:r>
        <w:rPr>
          <w:rFonts w:hint="eastAsia" w:ascii="仿宋" w:hAnsi="仿宋" w:eastAsia="仿宋" w:cs="仿宋"/>
          <w:color w:val="auto"/>
          <w:sz w:val="30"/>
          <w:szCs w:val="30"/>
        </w:rPr>
        <w:t>（复试占比 20%）。面试成绩满分为100分，面试成绩合格为60分，具体面试时间另行通知。</w:t>
      </w:r>
    </w:p>
    <w:p w14:paraId="6C3DC1FD">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面试主要采取提问形式。考察</w:t>
      </w:r>
      <w:r>
        <w:rPr>
          <w:rFonts w:hint="eastAsia" w:ascii="仿宋" w:hAnsi="仿宋" w:eastAsia="仿宋" w:cs="仿宋"/>
          <w:b/>
          <w:bCs/>
          <w:color w:val="auto"/>
          <w:sz w:val="30"/>
          <w:szCs w:val="30"/>
        </w:rPr>
        <w:t>专业知识及基本技能、综合素质和能力</w:t>
      </w:r>
      <w:r>
        <w:rPr>
          <w:rFonts w:hint="eastAsia" w:ascii="仿宋" w:hAnsi="仿宋" w:eastAsia="仿宋" w:cs="仿宋"/>
          <w:color w:val="auto"/>
          <w:sz w:val="30"/>
          <w:szCs w:val="30"/>
        </w:rPr>
        <w:t>测试时，每位考生从试题库中随机抽取1道题目回答；英语能力考察为考官现场随机出题。每位考生面试时间原则上不低于20分钟，每位考生的面试成绩为各专家给出的总成绩平均值</w:t>
      </w:r>
      <w:r>
        <w:rPr>
          <w:rFonts w:hint="eastAsia" w:ascii="仿宋" w:hAnsi="仿宋" w:eastAsia="仿宋" w:cs="仿宋"/>
          <w:color w:val="auto"/>
          <w:sz w:val="30"/>
          <w:szCs w:val="30"/>
        </w:rPr>
        <w:t>（保留小数点后两位）</w:t>
      </w:r>
      <w:r>
        <w:rPr>
          <w:rFonts w:hint="eastAsia" w:ascii="仿宋" w:hAnsi="仿宋" w:eastAsia="仿宋" w:cs="仿宋"/>
          <w:color w:val="auto"/>
          <w:sz w:val="30"/>
          <w:szCs w:val="30"/>
        </w:rPr>
        <w:t>。</w:t>
      </w:r>
    </w:p>
    <w:p w14:paraId="67ACF30B">
      <w:pPr>
        <w:pStyle w:val="5"/>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 xml:space="preserve">（二）同等学力加试 </w:t>
      </w:r>
    </w:p>
    <w:p w14:paraId="7F4E932D">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同等学力考生需加试两门旅游专业大学本科主干课程：《旅游学概论》《旅游消费者行为》，</w:t>
      </w:r>
      <w:r>
        <w:rPr>
          <w:rFonts w:hint="eastAsia" w:ascii="仿宋" w:hAnsi="仿宋" w:eastAsia="仿宋" w:cs="仿宋"/>
          <w:color w:val="auto"/>
          <w:sz w:val="30"/>
          <w:szCs w:val="30"/>
          <w:highlight w:val="none"/>
          <w:lang w:val="en-US" w:eastAsia="zh-CN"/>
        </w:rPr>
        <w:t>每科</w:t>
      </w:r>
      <w:r>
        <w:rPr>
          <w:rFonts w:hint="eastAsia" w:ascii="仿宋" w:hAnsi="仿宋" w:eastAsia="仿宋" w:cs="仿宋"/>
          <w:color w:val="auto"/>
          <w:sz w:val="30"/>
          <w:szCs w:val="30"/>
        </w:rPr>
        <w:t>考试时间120分钟，每科满分100分，60分为合格，加试成绩不计入复试成绩，但任意一科成绩低于60分者不予录取，具体考试时间另行通知。非同等学力考生无须加试。</w:t>
      </w:r>
    </w:p>
    <w:p w14:paraId="6F2C6FBC">
      <w:pPr>
        <w:pStyle w:val="4"/>
        <w:numPr>
          <w:ilvl w:val="-1"/>
          <w:numId w:val="0"/>
        </w:numPr>
        <w:spacing w:line="600" w:lineRule="exact"/>
        <w:ind w:leftChars="0"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五、</w:t>
      </w:r>
      <w:r>
        <w:rPr>
          <w:rFonts w:hint="eastAsia" w:ascii="仿宋" w:hAnsi="仿宋" w:eastAsia="仿宋" w:cs="仿宋"/>
          <w:b/>
          <w:bCs/>
          <w:color w:val="auto"/>
          <w:sz w:val="30"/>
          <w:szCs w:val="30"/>
        </w:rPr>
        <w:t>思想政治素质和品德考核</w:t>
      </w:r>
    </w:p>
    <w:p w14:paraId="1966C97C">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思想政治素质与品德考核是录取的重要依据，主要考核考生的现实表现，内容包括考生的政治态度、思想表现、道德品质、遵纪守法、诚实守信等方面。通过考生提交的思想品德鉴定意见及面试综合考核等方式，进行全面审查。成绩不计入复试总成绩。</w:t>
      </w:r>
    </w:p>
    <w:p w14:paraId="49F59E41">
      <w:pPr>
        <w:pStyle w:val="4"/>
        <w:numPr>
          <w:ilvl w:val="-1"/>
          <w:numId w:val="0"/>
        </w:numPr>
        <w:spacing w:line="600" w:lineRule="exact"/>
        <w:ind w:leftChars="200" w:firstLine="0" w:firstLineChars="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六、</w:t>
      </w:r>
      <w:r>
        <w:rPr>
          <w:rFonts w:hint="eastAsia" w:ascii="仿宋" w:hAnsi="仿宋" w:eastAsia="仿宋" w:cs="仿宋"/>
          <w:b/>
          <w:bCs/>
          <w:color w:val="auto"/>
          <w:sz w:val="30"/>
          <w:szCs w:val="30"/>
        </w:rPr>
        <w:t>成绩计算与使用</w:t>
      </w:r>
    </w:p>
    <w:p w14:paraId="07529021">
      <w:pPr>
        <w:pStyle w:val="5"/>
        <w:numPr>
          <w:ilvl w:val="0"/>
          <w:numId w:val="6"/>
        </w:numPr>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入学考试总成绩计算</w:t>
      </w:r>
    </w:p>
    <w:p w14:paraId="4D9FDA33">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 xml:space="preserve">入学考试总成绩=（初试成绩÷3）×60% + 复试成绩×40% </w:t>
      </w:r>
    </w:p>
    <w:p w14:paraId="6FF52585">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说明：复试成绩、入学考试总成绩均保留两位小数。</w:t>
      </w:r>
    </w:p>
    <w:p w14:paraId="1ED486AF">
      <w:pPr>
        <w:pStyle w:val="5"/>
        <w:numPr>
          <w:ilvl w:val="0"/>
          <w:numId w:val="6"/>
        </w:numPr>
        <w:spacing w:line="600" w:lineRule="exact"/>
        <w:ind w:firstLine="602" w:firstLineChars="200"/>
        <w:rPr>
          <w:rFonts w:hint="eastAsia" w:ascii="仿宋" w:hAnsi="仿宋" w:eastAsia="仿宋" w:cs="仿宋"/>
          <w:b/>
          <w:bCs/>
          <w:color w:val="auto"/>
          <w:szCs w:val="30"/>
        </w:rPr>
      </w:pPr>
      <w:r>
        <w:rPr>
          <w:rFonts w:hint="eastAsia" w:ascii="仿宋" w:hAnsi="仿宋" w:eastAsia="仿宋" w:cs="仿宋"/>
          <w:b/>
          <w:bCs/>
          <w:color w:val="auto"/>
          <w:szCs w:val="30"/>
        </w:rPr>
        <w:t>拟录取办法</w:t>
      </w:r>
    </w:p>
    <w:p w14:paraId="712D35C9">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按入学考试总成绩由高到低的顺序初步确定首批拟录取考生名单。综合成绩相同，初试成绩较高者优先录取。</w:t>
      </w:r>
    </w:p>
    <w:p w14:paraId="450F33D0">
      <w:pPr>
        <w:pStyle w:val="2"/>
        <w:spacing w:line="600" w:lineRule="exact"/>
        <w:ind w:firstLine="600"/>
        <w:rPr>
          <w:color w:val="auto"/>
        </w:rPr>
      </w:pPr>
      <w:r>
        <w:rPr>
          <w:rFonts w:hint="eastAsia" w:ascii="仿宋" w:hAnsi="仿宋" w:eastAsia="仿宋" w:cs="仿宋"/>
          <w:color w:val="auto"/>
          <w:sz w:val="30"/>
          <w:szCs w:val="30"/>
        </w:rPr>
        <w:t>政治笔试成绩、复试成绩、同等学</w:t>
      </w:r>
      <w:r>
        <w:rPr>
          <w:rFonts w:hint="eastAsia" w:ascii="仿宋" w:hAnsi="仿宋" w:eastAsia="仿宋" w:cs="仿宋"/>
          <w:color w:val="auto"/>
          <w:sz w:val="30"/>
          <w:szCs w:val="30"/>
          <w:lang w:val="en-US" w:eastAsia="zh-CN"/>
        </w:rPr>
        <w:t>力</w:t>
      </w:r>
      <w:r>
        <w:rPr>
          <w:rFonts w:hint="eastAsia" w:ascii="仿宋" w:hAnsi="仿宋" w:eastAsia="仿宋" w:cs="仿宋"/>
          <w:color w:val="auto"/>
          <w:sz w:val="30"/>
          <w:szCs w:val="30"/>
        </w:rPr>
        <w:t>加试成绩低于60分的不予录取。</w:t>
      </w:r>
    </w:p>
    <w:p w14:paraId="3278111B">
      <w:pPr>
        <w:pStyle w:val="2"/>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lang w:val="en-US" w:eastAsia="zh-CN"/>
        </w:rPr>
        <w:t>七、</w:t>
      </w:r>
      <w:r>
        <w:rPr>
          <w:rFonts w:hint="eastAsia" w:ascii="仿宋" w:hAnsi="仿宋" w:eastAsia="仿宋" w:cs="仿宋"/>
          <w:b/>
          <w:bCs/>
          <w:color w:val="auto"/>
          <w:sz w:val="30"/>
          <w:szCs w:val="30"/>
        </w:rPr>
        <w:t>录取工作相关说明</w:t>
      </w:r>
    </w:p>
    <w:p w14:paraId="35A0448B">
      <w:pPr>
        <w:pStyle w:val="2"/>
        <w:spacing w:line="600" w:lineRule="exact"/>
        <w:ind w:firstLine="600" w:firstLineChars="200"/>
        <w:rPr>
          <w:rFonts w:hint="eastAsia" w:ascii="仿宋" w:hAnsi="仿宋" w:eastAsia="仿宋" w:cs="仿宋"/>
          <w:color w:val="auto"/>
          <w:sz w:val="30"/>
          <w:szCs w:val="30"/>
          <w:highlight w:val="yellow"/>
          <w:u w:val="single"/>
        </w:rPr>
      </w:pPr>
      <w:r>
        <w:rPr>
          <w:rFonts w:hint="eastAsia" w:ascii="仿宋" w:hAnsi="仿宋" w:eastAsia="仿宋" w:cs="仿宋"/>
          <w:color w:val="auto"/>
          <w:sz w:val="30"/>
          <w:szCs w:val="30"/>
        </w:rPr>
        <w:t>录取原则按考生入学总成绩从高到低确定拟录取名单。</w:t>
      </w:r>
    </w:p>
    <w:p w14:paraId="1CB09109">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复试考生有下列情况之一者不予录取：</w:t>
      </w:r>
    </w:p>
    <w:p w14:paraId="5CCF29FA">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1.复试总成绩低于60分；</w:t>
      </w:r>
    </w:p>
    <w:p w14:paraId="207D744C">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2.思想品德考核不合格；</w:t>
      </w:r>
    </w:p>
    <w:p w14:paraId="0D2042E5">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3.同等学力加试成绩任一科低于60分；</w:t>
      </w:r>
    </w:p>
    <w:p w14:paraId="0AD46E2B">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4.未按要求体检或体检不合格；</w:t>
      </w:r>
    </w:p>
    <w:p w14:paraId="66F94631">
      <w:pPr>
        <w:pStyle w:val="2"/>
        <w:spacing w:line="600" w:lineRule="exact"/>
        <w:ind w:firstLine="600"/>
        <w:rPr>
          <w:color w:val="auto"/>
        </w:rPr>
      </w:pPr>
      <w:r>
        <w:rPr>
          <w:rFonts w:hint="eastAsia" w:ascii="仿宋" w:hAnsi="仿宋" w:eastAsia="仿宋" w:cs="仿宋"/>
          <w:color w:val="auto"/>
          <w:sz w:val="30"/>
          <w:szCs w:val="30"/>
        </w:rPr>
        <w:t>5.弄虚作假及考试违规、作弊的考生。考生取得拟录取资格后，被查出在初试和复试中有弄虚作假、违纪作弊等行为的，随时取消录取和入学资格，取得学籍者则取消学籍，并计入《考生考试诚信档案》。</w:t>
      </w:r>
    </w:p>
    <w:p w14:paraId="0768BC73">
      <w:pPr>
        <w:pStyle w:val="4"/>
        <w:numPr>
          <w:ilvl w:val="0"/>
          <w:numId w:val="1"/>
        </w:numPr>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成绩公布</w:t>
      </w:r>
    </w:p>
    <w:p w14:paraId="29C50FE5">
      <w:pPr>
        <w:pStyle w:val="2"/>
        <w:spacing w:line="600" w:lineRule="exact"/>
        <w:ind w:firstLine="600"/>
        <w:rPr>
          <w:rFonts w:hint="eastAsia" w:ascii="仿宋" w:hAnsi="仿宋" w:eastAsia="仿宋" w:cs="仿宋"/>
          <w:color w:val="auto"/>
          <w:sz w:val="30"/>
          <w:szCs w:val="30"/>
        </w:rPr>
      </w:pPr>
      <w:r>
        <w:rPr>
          <w:rFonts w:hint="eastAsia" w:ascii="仿宋" w:hAnsi="仿宋" w:eastAsia="仿宋" w:cs="仿宋"/>
          <w:color w:val="auto"/>
          <w:sz w:val="30"/>
          <w:szCs w:val="30"/>
        </w:rPr>
        <w:t>线下复试工作结束后，在海南热带海洋学院研究生工作处网站公示复试结果，公示信息包括考生姓名、考生编号、初试成绩、复试成绩、综合成绩、是否拟录取，公示时间为7个工作日。考生如有异议，请于公示期内按下面内容提供的方式反映问题。</w:t>
      </w:r>
    </w:p>
    <w:p w14:paraId="59F25A1B">
      <w:pPr>
        <w:pStyle w:val="2"/>
        <w:numPr>
          <w:ilvl w:val="0"/>
          <w:numId w:val="7"/>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海南热带海洋学院研究工</w:t>
      </w:r>
      <w:r>
        <w:rPr>
          <w:rFonts w:hint="eastAsia" w:ascii="仿宋" w:hAnsi="仿宋" w:eastAsia="仿宋" w:cs="仿宋"/>
          <w:color w:val="auto"/>
          <w:sz w:val="30"/>
          <w:szCs w:val="30"/>
          <w:lang w:val="en-US" w:eastAsia="zh-CN"/>
        </w:rPr>
        <w:t>作</w:t>
      </w:r>
      <w:r>
        <w:rPr>
          <w:rFonts w:hint="eastAsia" w:ascii="仿宋" w:hAnsi="仿宋" w:eastAsia="仿宋" w:cs="仿宋"/>
          <w:color w:val="auto"/>
          <w:sz w:val="30"/>
          <w:szCs w:val="30"/>
        </w:rPr>
        <w:t xml:space="preserve">处 </w:t>
      </w:r>
    </w:p>
    <w:p w14:paraId="46B14156">
      <w:pPr>
        <w:pStyle w:val="2"/>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举报电话：0898-88650027</w:t>
      </w:r>
    </w:p>
    <w:p w14:paraId="2A876943">
      <w:pPr>
        <w:pStyle w:val="2"/>
        <w:numPr>
          <w:ilvl w:val="0"/>
          <w:numId w:val="7"/>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 xml:space="preserve">海南热带海洋学院纪委办公室/监察处 </w:t>
      </w:r>
    </w:p>
    <w:p w14:paraId="57146D7D">
      <w:pPr>
        <w:pStyle w:val="2"/>
        <w:spacing w:line="600" w:lineRule="exact"/>
        <w:ind w:left="0"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举报电话：0898-88651718</w:t>
      </w:r>
    </w:p>
    <w:p w14:paraId="77B1B6DB">
      <w:pPr>
        <w:pStyle w:val="4"/>
        <w:numPr>
          <w:ilvl w:val="0"/>
          <w:numId w:val="1"/>
        </w:numPr>
        <w:spacing w:line="600" w:lineRule="exact"/>
        <w:ind w:firstLine="602" w:firstLineChars="200"/>
        <w:rPr>
          <w:rFonts w:hint="eastAsia" w:ascii="仿宋" w:hAnsi="仿宋" w:eastAsia="仿宋" w:cs="仿宋"/>
          <w:b/>
          <w:bCs/>
          <w:color w:val="auto"/>
          <w:sz w:val="30"/>
          <w:szCs w:val="30"/>
        </w:rPr>
      </w:pPr>
      <w:r>
        <w:rPr>
          <w:rFonts w:hint="eastAsia" w:ascii="仿宋" w:hAnsi="仿宋" w:eastAsia="仿宋" w:cs="仿宋"/>
          <w:b/>
          <w:bCs/>
          <w:color w:val="auto"/>
          <w:sz w:val="30"/>
          <w:szCs w:val="30"/>
        </w:rPr>
        <w:t>其他需要说明的问题</w:t>
      </w:r>
    </w:p>
    <w:p w14:paraId="501A38A4">
      <w:pPr>
        <w:pStyle w:val="2"/>
        <w:numPr>
          <w:ilvl w:val="0"/>
          <w:numId w:val="8"/>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未尽事宜以学校规定为准。</w:t>
      </w:r>
    </w:p>
    <w:p w14:paraId="607AC0E4">
      <w:pPr>
        <w:pStyle w:val="2"/>
        <w:numPr>
          <w:ilvl w:val="0"/>
          <w:numId w:val="8"/>
        </w:numPr>
        <w:spacing w:line="600" w:lineRule="exact"/>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考生应随时关注海南热带海洋学院研究生工作处网站发布的最新信息。</w:t>
      </w:r>
    </w:p>
    <w:p w14:paraId="19DA7D51">
      <w:pPr>
        <w:ind w:firstLine="600" w:firstLineChars="200"/>
        <w:rPr>
          <w:rFonts w:hint="eastAsia" w:ascii="宋体" w:hAnsi="宋体" w:eastAsia="宋体" w:cs="宋体"/>
          <w:color w:val="auto"/>
          <w:sz w:val="28"/>
          <w:szCs w:val="28"/>
        </w:rPr>
      </w:pPr>
      <w:r>
        <w:rPr>
          <w:rFonts w:hint="eastAsia" w:ascii="仿宋" w:hAnsi="仿宋" w:eastAsia="仿宋" w:cs="仿宋"/>
          <w:color w:val="auto"/>
          <w:sz w:val="30"/>
          <w:szCs w:val="30"/>
        </w:rPr>
        <w:t xml:space="preserve">                          </w:t>
      </w:r>
      <w:r>
        <w:rPr>
          <w:rFonts w:hint="eastAsia" w:ascii="宋体" w:hAnsi="宋体" w:eastAsia="宋体" w:cs="宋体"/>
          <w:color w:val="auto"/>
          <w:sz w:val="28"/>
          <w:szCs w:val="28"/>
        </w:rPr>
        <w:t>海南热带海洋学院旅游学院</w:t>
      </w:r>
    </w:p>
    <w:p w14:paraId="076FE7A4">
      <w:pPr>
        <w:ind w:firstLine="5320" w:firstLineChars="1900"/>
        <w:rPr>
          <w:rFonts w:hint="eastAsia" w:ascii="宋体" w:hAnsi="宋体" w:eastAsia="宋体" w:cs="宋体"/>
          <w:color w:val="auto"/>
          <w:sz w:val="28"/>
          <w:szCs w:val="28"/>
        </w:rPr>
      </w:pPr>
      <w:r>
        <w:rPr>
          <w:rFonts w:hint="eastAsia" w:ascii="宋体" w:hAnsi="宋体" w:eastAsia="宋体" w:cs="宋体"/>
          <w:color w:val="auto"/>
          <w:sz w:val="28"/>
          <w:szCs w:val="28"/>
        </w:rPr>
        <w:t>2025年3月</w:t>
      </w:r>
      <w:r>
        <w:rPr>
          <w:rFonts w:hint="eastAsia" w:ascii="宋体" w:hAnsi="宋体" w:eastAsia="宋体" w:cs="宋体"/>
          <w:color w:val="auto"/>
          <w:sz w:val="28"/>
          <w:szCs w:val="28"/>
          <w:lang w:val="en-US" w:eastAsia="zh-CN"/>
        </w:rPr>
        <w:t>25</w:t>
      </w:r>
      <w:bookmarkStart w:id="0" w:name="_GoBack"/>
      <w:bookmarkEnd w:id="0"/>
      <w:r>
        <w:rPr>
          <w:rFonts w:hint="eastAsia" w:ascii="宋体" w:hAnsi="宋体" w:eastAsia="宋体" w:cs="宋体"/>
          <w:color w:val="auto"/>
          <w:sz w:val="28"/>
          <w:szCs w:val="28"/>
        </w:rPr>
        <w:t>日</w:t>
      </w:r>
    </w:p>
    <w:p w14:paraId="2F9A052F">
      <w:pPr>
        <w:ind w:firstLine="420" w:firstLineChars="200"/>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2CD09"/>
    <w:multiLevelType w:val="singleLevel"/>
    <w:tmpl w:val="A092CD09"/>
    <w:lvl w:ilvl="0" w:tentative="0">
      <w:start w:val="2"/>
      <w:numFmt w:val="decimal"/>
      <w:suff w:val="nothing"/>
      <w:lvlText w:val="（%1）"/>
      <w:lvlJc w:val="left"/>
    </w:lvl>
  </w:abstractNum>
  <w:abstractNum w:abstractNumId="1">
    <w:nsid w:val="A10576F2"/>
    <w:multiLevelType w:val="singleLevel"/>
    <w:tmpl w:val="A10576F2"/>
    <w:lvl w:ilvl="0" w:tentative="0">
      <w:start w:val="1"/>
      <w:numFmt w:val="decimal"/>
      <w:suff w:val="space"/>
      <w:lvlText w:val="%1."/>
      <w:lvlJc w:val="left"/>
      <w:pPr>
        <w:ind w:left="0" w:firstLine="480"/>
      </w:pPr>
      <w:rPr>
        <w:rFonts w:hint="default"/>
      </w:rPr>
    </w:lvl>
  </w:abstractNum>
  <w:abstractNum w:abstractNumId="2">
    <w:nsid w:val="DC6C3AE3"/>
    <w:multiLevelType w:val="singleLevel"/>
    <w:tmpl w:val="DC6C3AE3"/>
    <w:lvl w:ilvl="0" w:tentative="0">
      <w:start w:val="1"/>
      <w:numFmt w:val="chineseCounting"/>
      <w:suff w:val="nothing"/>
      <w:lvlText w:val="%1、"/>
      <w:lvlJc w:val="left"/>
      <w:pPr>
        <w:ind w:left="0" w:firstLine="0"/>
      </w:pPr>
      <w:rPr>
        <w:rFonts w:hint="eastAsia"/>
      </w:rPr>
    </w:lvl>
  </w:abstractNum>
  <w:abstractNum w:abstractNumId="3">
    <w:nsid w:val="00579363"/>
    <w:multiLevelType w:val="singleLevel"/>
    <w:tmpl w:val="00579363"/>
    <w:lvl w:ilvl="0" w:tentative="0">
      <w:start w:val="1"/>
      <w:numFmt w:val="chineseCounting"/>
      <w:suff w:val="nothing"/>
      <w:lvlText w:val="（%1）"/>
      <w:lvlJc w:val="left"/>
      <w:pPr>
        <w:ind w:left="0" w:firstLine="0"/>
      </w:pPr>
      <w:rPr>
        <w:rFonts w:hint="eastAsia"/>
      </w:rPr>
    </w:lvl>
  </w:abstractNum>
  <w:abstractNum w:abstractNumId="4">
    <w:nsid w:val="207C7C3D"/>
    <w:multiLevelType w:val="singleLevel"/>
    <w:tmpl w:val="207C7C3D"/>
    <w:lvl w:ilvl="0" w:tentative="0">
      <w:start w:val="1"/>
      <w:numFmt w:val="decimal"/>
      <w:suff w:val="space"/>
      <w:lvlText w:val="%1."/>
      <w:lvlJc w:val="left"/>
      <w:pPr>
        <w:ind w:left="0" w:firstLine="480"/>
      </w:pPr>
      <w:rPr>
        <w:rFonts w:hint="default"/>
      </w:rPr>
    </w:lvl>
  </w:abstractNum>
  <w:abstractNum w:abstractNumId="5">
    <w:nsid w:val="38BC2073"/>
    <w:multiLevelType w:val="singleLevel"/>
    <w:tmpl w:val="38BC2073"/>
    <w:lvl w:ilvl="0" w:tentative="0">
      <w:start w:val="1"/>
      <w:numFmt w:val="decimal"/>
      <w:suff w:val="space"/>
      <w:lvlText w:val="%1."/>
      <w:lvlJc w:val="left"/>
      <w:pPr>
        <w:ind w:left="0" w:firstLine="480"/>
      </w:pPr>
      <w:rPr>
        <w:rFonts w:hint="default"/>
      </w:rPr>
    </w:lvl>
  </w:abstractNum>
  <w:abstractNum w:abstractNumId="6">
    <w:nsid w:val="4DC7C42C"/>
    <w:multiLevelType w:val="singleLevel"/>
    <w:tmpl w:val="4DC7C42C"/>
    <w:lvl w:ilvl="0" w:tentative="0">
      <w:start w:val="1"/>
      <w:numFmt w:val="decimal"/>
      <w:suff w:val="space"/>
      <w:lvlText w:val="%1."/>
      <w:lvlJc w:val="left"/>
      <w:pPr>
        <w:ind w:left="0" w:firstLine="480"/>
      </w:pPr>
      <w:rPr>
        <w:rFonts w:hint="default"/>
      </w:rPr>
    </w:lvl>
  </w:abstractNum>
  <w:abstractNum w:abstractNumId="7">
    <w:nsid w:val="5EDC5359"/>
    <w:multiLevelType w:val="singleLevel"/>
    <w:tmpl w:val="5EDC5359"/>
    <w:lvl w:ilvl="0" w:tentative="0">
      <w:start w:val="1"/>
      <w:numFmt w:val="decimal"/>
      <w:suff w:val="space"/>
      <w:lvlText w:val="%1."/>
      <w:lvlJc w:val="left"/>
      <w:pPr>
        <w:ind w:left="0" w:firstLine="0"/>
      </w:pPr>
      <w:rPr>
        <w:rFonts w:hint="default"/>
      </w:rPr>
    </w:lvl>
  </w:abstractNum>
  <w:num w:numId="1">
    <w:abstractNumId w:val="2"/>
  </w:num>
  <w:num w:numId="2">
    <w:abstractNumId w:val="7"/>
  </w:num>
  <w:num w:numId="3">
    <w:abstractNumId w:val="6"/>
  </w:num>
  <w:num w:numId="4">
    <w:abstractNumId w:val="0"/>
  </w:num>
  <w:num w:numId="5">
    <w:abstractNumId w:val="4"/>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8317F75"/>
    <w:rsid w:val="00293F0C"/>
    <w:rsid w:val="003A4E13"/>
    <w:rsid w:val="003E71B8"/>
    <w:rsid w:val="00574EB0"/>
    <w:rsid w:val="006A6AE6"/>
    <w:rsid w:val="00726B92"/>
    <w:rsid w:val="00AE0443"/>
    <w:rsid w:val="00AE7FA0"/>
    <w:rsid w:val="04590B1F"/>
    <w:rsid w:val="05C760B2"/>
    <w:rsid w:val="06CB7979"/>
    <w:rsid w:val="06F9676B"/>
    <w:rsid w:val="08AF183D"/>
    <w:rsid w:val="28FC7DC1"/>
    <w:rsid w:val="2AF3352F"/>
    <w:rsid w:val="2BE94E19"/>
    <w:rsid w:val="3616074D"/>
    <w:rsid w:val="3DE6548C"/>
    <w:rsid w:val="47EE7F4E"/>
    <w:rsid w:val="48317F75"/>
    <w:rsid w:val="4ED75F84"/>
    <w:rsid w:val="528E6CF4"/>
    <w:rsid w:val="5D721967"/>
    <w:rsid w:val="69255090"/>
    <w:rsid w:val="74CB0B2C"/>
    <w:rsid w:val="76074DDB"/>
    <w:rsid w:val="7B8D457F"/>
    <w:rsid w:val="7D897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val="0"/>
      <w:adjustRightInd w:val="0"/>
      <w:spacing w:before="320" w:line="300" w:lineRule="auto"/>
      <w:jc w:val="both"/>
      <w:outlineLvl w:val="0"/>
    </w:pPr>
    <w:rPr>
      <w:rFonts w:ascii="Times New Roman" w:hAnsi="Times New Roman" w:eastAsia="黑体" w:cs="Times New Roman"/>
      <w:color w:val="000000"/>
      <w:kern w:val="44"/>
      <w:sz w:val="32"/>
      <w:szCs w:val="44"/>
      <w:lang w:val="en-US" w:eastAsia="zh-CN" w:bidi="ar-SA"/>
    </w:rPr>
  </w:style>
  <w:style w:type="paragraph" w:styleId="5">
    <w:name w:val="heading 2"/>
    <w:next w:val="1"/>
    <w:unhideWhenUsed/>
    <w:qFormat/>
    <w:uiPriority w:val="0"/>
    <w:pPr>
      <w:widowControl w:val="0"/>
      <w:adjustRightInd w:val="0"/>
      <w:spacing w:before="280" w:line="300" w:lineRule="auto"/>
      <w:jc w:val="both"/>
      <w:outlineLvl w:val="1"/>
    </w:pPr>
    <w:rPr>
      <w:rFonts w:ascii="Times New Roman" w:hAnsi="Times New Roman" w:eastAsia="黑体" w:cs="Times New Roman"/>
      <w:kern w:val="2"/>
      <w:sz w:val="30"/>
      <w:szCs w:val="32"/>
      <w:lang w:val="en-US" w:eastAsia="zh-CN" w:bidi="ar-SA"/>
    </w:rPr>
  </w:style>
  <w:style w:type="paragraph" w:styleId="6">
    <w:name w:val="heading 3"/>
    <w:next w:val="1"/>
    <w:unhideWhenUsed/>
    <w:qFormat/>
    <w:uiPriority w:val="0"/>
    <w:pPr>
      <w:keepNext/>
      <w:keepLines/>
      <w:widowControl w:val="0"/>
      <w:adjustRightInd w:val="0"/>
      <w:spacing w:before="240" w:line="300" w:lineRule="auto"/>
      <w:jc w:val="both"/>
      <w:outlineLvl w:val="2"/>
    </w:pPr>
    <w:rPr>
      <w:rFonts w:ascii="Times New Roman" w:hAnsi="Times New Roman" w:eastAsia="黑体" w:cs="Times New Roman"/>
      <w:kern w:val="2"/>
      <w:sz w:val="30"/>
      <w:szCs w:val="24"/>
      <w:lang w:val="en-US" w:eastAsia="zh-CN" w:bidi="ar-SA"/>
    </w:rPr>
  </w:style>
  <w:style w:type="paragraph" w:styleId="7">
    <w:name w:val="heading 4"/>
    <w:next w:val="1"/>
    <w:semiHidden/>
    <w:unhideWhenUsed/>
    <w:qFormat/>
    <w:uiPriority w:val="0"/>
    <w:pPr>
      <w:keepNext/>
      <w:keepLines/>
      <w:widowControl w:val="0"/>
      <w:adjustRightInd w:val="0"/>
      <w:spacing w:before="200" w:line="300" w:lineRule="auto"/>
      <w:jc w:val="both"/>
      <w:outlineLvl w:val="3"/>
    </w:pPr>
    <w:rPr>
      <w:rFonts w:ascii="Times New Roman" w:hAnsi="Times New Roman" w:eastAsia="黑体" w:cs="Times New Roman"/>
      <w:bCs/>
      <w:kern w:val="2"/>
      <w:sz w:val="28"/>
      <w:szCs w:val="28"/>
      <w:lang w:val="en-US" w:eastAsia="zh-CN" w:bidi="ar-SA"/>
    </w:rPr>
  </w:style>
  <w:style w:type="paragraph" w:styleId="8">
    <w:name w:val="heading 5"/>
    <w:next w:val="1"/>
    <w:semiHidden/>
    <w:unhideWhenUsed/>
    <w:qFormat/>
    <w:uiPriority w:val="0"/>
    <w:pPr>
      <w:keepNext/>
      <w:keepLines/>
      <w:widowControl w:val="0"/>
      <w:adjustRightInd w:val="0"/>
      <w:spacing w:before="160" w:line="300" w:lineRule="auto"/>
      <w:jc w:val="both"/>
      <w:outlineLvl w:val="4"/>
    </w:pPr>
    <w:rPr>
      <w:rFonts w:ascii="Times New Roman" w:hAnsi="Times New Roman" w:eastAsia="黑体" w:cs="Times New Roman"/>
      <w:bCs/>
      <w:kern w:val="2"/>
      <w:sz w:val="28"/>
      <w:szCs w:val="28"/>
      <w:lang w:val="en-US" w:eastAsia="zh-CN" w:bidi="ar-SA"/>
    </w:rPr>
  </w:style>
  <w:style w:type="paragraph" w:styleId="9">
    <w:name w:val="heading 6"/>
    <w:next w:val="1"/>
    <w:semiHidden/>
    <w:unhideWhenUsed/>
    <w:qFormat/>
    <w:uiPriority w:val="0"/>
    <w:pPr>
      <w:keepNext/>
      <w:keepLines/>
      <w:widowControl w:val="0"/>
      <w:adjustRightInd w:val="0"/>
      <w:spacing w:before="120" w:line="300" w:lineRule="auto"/>
      <w:jc w:val="both"/>
      <w:outlineLvl w:val="5"/>
    </w:pPr>
    <w:rPr>
      <w:rFonts w:ascii="Times New Roman" w:hAnsi="Times New Roman" w:eastAsia="黑体" w:cs="Times New Roman"/>
      <w:bCs/>
      <w:kern w:val="2"/>
      <w:sz w:val="28"/>
      <w:szCs w:val="24"/>
      <w:lang w:val="en-US" w:eastAsia="zh-CN" w:bidi="ar-SA"/>
    </w:rPr>
  </w:style>
  <w:style w:type="paragraph" w:styleId="10">
    <w:name w:val="heading 7"/>
    <w:next w:val="1"/>
    <w:semiHidden/>
    <w:unhideWhenUsed/>
    <w:qFormat/>
    <w:uiPriority w:val="0"/>
    <w:pPr>
      <w:keepNext/>
      <w:keepLines/>
      <w:widowControl w:val="0"/>
      <w:adjustRightInd w:val="0"/>
      <w:spacing w:before="120" w:line="300" w:lineRule="auto"/>
      <w:jc w:val="both"/>
      <w:outlineLvl w:val="6"/>
    </w:pPr>
    <w:rPr>
      <w:rFonts w:ascii="Times New Roman" w:hAnsi="Times New Roman" w:eastAsia="黑体" w:cs="Times New Roman"/>
      <w:bCs/>
      <w:kern w:val="2"/>
      <w:sz w:val="24"/>
      <w:szCs w:val="24"/>
      <w:lang w:val="en-US" w:eastAsia="zh-CN" w:bidi="ar-SA"/>
    </w:rPr>
  </w:style>
  <w:style w:type="paragraph" w:styleId="11">
    <w:name w:val="heading 8"/>
    <w:next w:val="1"/>
    <w:semiHidden/>
    <w:unhideWhenUsed/>
    <w:qFormat/>
    <w:uiPriority w:val="0"/>
    <w:pPr>
      <w:keepNext/>
      <w:keepLines/>
      <w:widowControl w:val="0"/>
      <w:adjustRightInd w:val="0"/>
      <w:spacing w:before="120" w:line="300" w:lineRule="auto"/>
      <w:jc w:val="both"/>
      <w:outlineLvl w:val="7"/>
    </w:pPr>
    <w:rPr>
      <w:rFonts w:ascii="Times New Roman" w:hAnsi="Times New Roman" w:eastAsia="黑体" w:cs="Times New Roman"/>
      <w:kern w:val="2"/>
      <w:sz w:val="24"/>
      <w:szCs w:val="24"/>
      <w:lang w:val="en-US" w:eastAsia="zh-CN" w:bidi="ar-SA"/>
    </w:rPr>
  </w:style>
  <w:style w:type="paragraph" w:styleId="12">
    <w:name w:val="heading 9"/>
    <w:next w:val="1"/>
    <w:semiHidden/>
    <w:unhideWhenUsed/>
    <w:qFormat/>
    <w:uiPriority w:val="0"/>
    <w:pPr>
      <w:keepNext/>
      <w:keepLines/>
      <w:widowControl w:val="0"/>
      <w:adjustRightInd w:val="0"/>
      <w:spacing w:before="120" w:line="300" w:lineRule="auto"/>
      <w:jc w:val="both"/>
      <w:outlineLvl w:val="8"/>
    </w:pPr>
    <w:rPr>
      <w:rFonts w:ascii="Times New Roman" w:hAnsi="Times New Roman" w:eastAsia="黑体" w:cs="Times New Roman"/>
      <w:kern w:val="2"/>
      <w:sz w:val="21"/>
      <w:szCs w:val="21"/>
      <w:lang w:val="en-US" w:eastAsia="zh-CN" w:bidi="ar-SA"/>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djustRightInd w:val="0"/>
      <w:spacing w:before="100" w:after="100" w:line="300" w:lineRule="auto"/>
      <w:ind w:firstLine="1044" w:firstLineChars="200"/>
    </w:pPr>
    <w:rPr>
      <w:rFonts w:ascii="Times New Roman" w:hAnsi="Times New Roman" w:eastAsia="宋体" w:cs="Times New Roman"/>
      <w:sz w:val="24"/>
    </w:rPr>
  </w:style>
  <w:style w:type="paragraph" w:styleId="3">
    <w:name w:val="Quote"/>
    <w:basedOn w:val="1"/>
    <w:next w:val="1"/>
    <w:qFormat/>
    <w:uiPriority w:val="29"/>
    <w:pPr>
      <w:spacing w:beforeLines="50" w:afterLines="50" w:line="360" w:lineRule="auto"/>
    </w:pPr>
    <w:rPr>
      <w:i/>
      <w:iCs/>
      <w:color w:val="000000"/>
      <w:lang w:val="zh-CN"/>
    </w:rPr>
  </w:style>
  <w:style w:type="paragraph" w:styleId="13">
    <w:name w:val="annotation text"/>
    <w:basedOn w:val="1"/>
    <w:qFormat/>
    <w:uiPriority w:val="0"/>
    <w:pPr>
      <w:jc w:val="left"/>
    </w:pPr>
  </w:style>
  <w:style w:type="paragraph" w:styleId="14">
    <w:name w:val="footer"/>
    <w:basedOn w:val="1"/>
    <w:link w:val="22"/>
    <w:qFormat/>
    <w:uiPriority w:val="0"/>
    <w:pPr>
      <w:tabs>
        <w:tab w:val="center" w:pos="4153"/>
        <w:tab w:val="right" w:pos="8306"/>
      </w:tabs>
      <w:snapToGrid w:val="0"/>
      <w:jc w:val="left"/>
    </w:pPr>
    <w:rPr>
      <w:sz w:val="18"/>
      <w:szCs w:val="18"/>
    </w:rPr>
  </w:style>
  <w:style w:type="paragraph" w:styleId="15">
    <w:name w:val="header"/>
    <w:basedOn w:val="1"/>
    <w:link w:val="21"/>
    <w:qFormat/>
    <w:uiPriority w:val="0"/>
    <w:pPr>
      <w:tabs>
        <w:tab w:val="center" w:pos="4153"/>
        <w:tab w:val="right" w:pos="8306"/>
      </w:tabs>
      <w:snapToGrid w:val="0"/>
      <w:jc w:val="center"/>
    </w:pPr>
    <w:rPr>
      <w:sz w:val="18"/>
      <w:szCs w:val="18"/>
    </w:rPr>
  </w:style>
  <w:style w:type="paragraph" w:styleId="16">
    <w:name w:val="Subtitle"/>
    <w:qFormat/>
    <w:uiPriority w:val="0"/>
    <w:pPr>
      <w:widowControl w:val="0"/>
      <w:adjustRightInd w:val="0"/>
      <w:spacing w:before="100" w:after="100"/>
      <w:jc w:val="center"/>
    </w:pPr>
    <w:rPr>
      <w:rFonts w:ascii="Times New Roman" w:hAnsi="Times New Roman" w:eastAsia="黑体" w:cs="Times New Roman"/>
      <w:kern w:val="28"/>
      <w:sz w:val="32"/>
      <w:szCs w:val="24"/>
      <w:lang w:val="en-US" w:eastAsia="zh-CN" w:bidi="ar-SA"/>
    </w:rPr>
  </w:style>
  <w:style w:type="paragraph" w:styleId="17">
    <w:name w:val="Title"/>
    <w:qFormat/>
    <w:uiPriority w:val="0"/>
    <w:pPr>
      <w:widowControl w:val="0"/>
      <w:adjustRightInd w:val="0"/>
      <w:spacing w:before="100" w:after="100"/>
      <w:jc w:val="center"/>
    </w:pPr>
    <w:rPr>
      <w:rFonts w:ascii="Times New Roman" w:hAnsi="Times New Roman" w:eastAsia="黑体" w:cs="Times New Roman"/>
      <w:kern w:val="2"/>
      <w:sz w:val="36"/>
      <w:szCs w:val="24"/>
      <w:lang w:val="en-US" w:eastAsia="zh-CN" w:bidi="ar-SA"/>
    </w:rPr>
  </w:style>
  <w:style w:type="paragraph" w:customStyle="1" w:styleId="2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21">
    <w:name w:val="页眉 字符"/>
    <w:basedOn w:val="19"/>
    <w:link w:val="15"/>
    <w:qFormat/>
    <w:uiPriority w:val="0"/>
    <w:rPr>
      <w:kern w:val="2"/>
      <w:sz w:val="18"/>
      <w:szCs w:val="18"/>
    </w:rPr>
  </w:style>
  <w:style w:type="character" w:customStyle="1" w:styleId="22">
    <w:name w:val="页脚 字符"/>
    <w:basedOn w:val="19"/>
    <w:link w:val="14"/>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2854</Words>
  <Characters>2978</Characters>
  <Lines>23</Lines>
  <Paragraphs>6</Paragraphs>
  <TotalTime>5</TotalTime>
  <ScaleCrop>false</ScaleCrop>
  <LinksUpToDate>false</LinksUpToDate>
  <CharactersWithSpaces>3018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2025-03-14T04:42:00Z</dcterms:created>
  <dc:creator>散步的鱼儿（美玲韩语）</dc:creator>
  <cp:lastModifiedBy>娟娟流水</cp:lastModifiedBy>
  <dcterms:modified xsi:type="dcterms:W3CDTF">2025-03-25T02:13:52Z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EBAD8FA486EE4508AB274BDEEAED9AD7_13</vt:lpwstr>
  </property>
  <property fmtid="{D5CDD505-2E9C-101B-9397-08002B2CF9AE}" pid="4" name="KSOTemplateDocerSaveRecord">
    <vt:lpwstr>eyJoZGlkIjoiODczODY0M2I2MTcwOGI3ZGI3NzMzN2FlZTcwMzZmZmYiLCJ1c2VySWQiOiIzODkwNTc1OTgifQ==</vt:lpwstr>
  </property>
</Properties>
</file>