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62"/>
        <w:ind w:firstLine="0" w:firstLineChars="0"/>
        <w:rPr/>
      </w:pPr>
      <w:r>
        <w:rPr>
          <w:rFonts w:hint="eastAsia"/>
        </w:rPr>
        <w:t>艺术</w:t>
      </w:r>
      <w:r>
        <w:rPr>
          <w:rFonts w:hint="eastAsia"/>
        </w:rPr>
        <w:t>学院</w:t>
      </w:r>
      <w:r>
        <w:rPr>
          <w:rFonts w:hint="eastAsia"/>
        </w:rPr>
        <w:t>艺术</w:t>
      </w:r>
      <w:r>
        <w:rPr>
          <w:rFonts w:hint="eastAsia"/>
        </w:rPr>
        <w:t>（</w:t>
      </w:r>
      <w:r>
        <w:rPr>
          <w:rFonts w:hint="eastAsia"/>
        </w:rPr>
        <w:t>音乐</w:t>
      </w:r>
      <w:r>
        <w:rPr>
          <w:rFonts w:hint="eastAsia"/>
        </w:rPr>
        <w:t>）</w:t>
      </w:r>
      <w:r>
        <w:rPr>
          <w:rFonts w:hint="eastAsia"/>
        </w:rPr>
        <w:t>专业</w:t>
      </w:r>
      <w:r>
        <w:rPr>
          <w:rFonts w:hint="eastAsia"/>
        </w:rPr>
        <w:t>硕士研究生</w:t>
      </w:r>
    </w:p>
    <w:p>
      <w:pPr>
        <w:pStyle w:val="style62"/>
        <w:ind w:firstLine="0" w:firstLineChars="0"/>
        <w:rPr>
          <w:sz w:val="36"/>
          <w:szCs w:val="36"/>
        </w:rPr>
      </w:pPr>
      <w:r>
        <w:rPr>
          <w:rFonts w:hint="eastAsia"/>
        </w:rPr>
        <w:t>2023</w:t>
      </w:r>
      <w:r>
        <w:rPr>
          <w:rFonts w:hint="eastAsia"/>
        </w:rPr>
        <w:t>年</w:t>
      </w:r>
      <w:r>
        <w:rPr>
          <w:rFonts w:hint="eastAsia"/>
        </w:rPr>
        <w:t>招生</w:t>
      </w:r>
      <w:r>
        <w:rPr>
          <w:rFonts w:hint="eastAsia"/>
        </w:rPr>
        <w:t>复试</w:t>
      </w:r>
      <w:r>
        <w:rPr>
          <w:rFonts w:hint="eastAsia"/>
        </w:rPr>
        <w:t>工作细则</w:t>
      </w:r>
    </w:p>
    <w:p>
      <w:pPr>
        <w:pStyle w:val="style0"/>
        <w:ind w:firstLine="0" w:firstLineChars="0"/>
        <w:rPr>
          <w:rFonts w:hint="eastAsia"/>
        </w:rPr>
      </w:pPr>
    </w:p>
    <w:p>
      <w:pPr>
        <w:pStyle w:val="style0"/>
        <w:ind w:firstLine="640"/>
        <w:rPr/>
      </w:pPr>
      <w:r>
        <w:rPr>
          <w:rFonts w:hint="eastAsia"/>
        </w:rPr>
        <w:t>艺术学院艺术（音乐）专业硕士研究生</w:t>
      </w:r>
      <w:r>
        <w:rPr>
          <w:rFonts w:hint="eastAsia"/>
        </w:rPr>
        <w:t>2</w:t>
      </w:r>
      <w:r>
        <w:t>023</w:t>
      </w:r>
      <w:r>
        <w:rPr>
          <w:rFonts w:hint="eastAsia"/>
        </w:rPr>
        <w:t>年招生复试工作，</w:t>
      </w:r>
      <w:r>
        <w:rPr>
          <w:rFonts w:hint="eastAsia"/>
        </w:rPr>
        <w:t>以习近平新时代中国特色社会主义思想为指导，全面落实党的教育方针。确保复试的安全性、公平性和科学性，统筹兼顾、严格管理，坚持“按需招生、德智体全面衡量、择优录取、宁缺毋滥”的原则</w:t>
      </w:r>
      <w:r>
        <w:rPr>
          <w:rFonts w:hint="eastAsia"/>
        </w:rPr>
        <w:t>，制定如下复试工作细则。</w:t>
      </w:r>
    </w:p>
    <w:p>
      <w:pPr>
        <w:pStyle w:val="style1"/>
        <w:rPr/>
      </w:pPr>
      <w:r>
        <w:t>时间安排</w:t>
      </w:r>
    </w:p>
    <w:p>
      <w:pPr>
        <w:pStyle w:val="style0"/>
        <w:ind w:firstLine="640"/>
        <w:rPr/>
      </w:pPr>
      <w:r>
        <w:rPr>
          <w:rFonts w:hint="eastAsia"/>
        </w:rPr>
        <w:t>第一志愿考生与调剂考生复试工作同时于</w:t>
      </w:r>
      <w:r>
        <w:rPr>
          <w:rFonts w:hint="eastAsia"/>
        </w:rPr>
        <w:t>4</w:t>
      </w:r>
      <w:r>
        <w:rPr>
          <w:rFonts w:hint="eastAsia"/>
        </w:rPr>
        <w:t>月</w:t>
      </w:r>
      <w:r>
        <w:rPr>
          <w:rFonts w:hint="eastAsia"/>
        </w:rPr>
        <w:t>6</w:t>
      </w:r>
      <w:r>
        <w:rPr>
          <w:rFonts w:hint="eastAsia"/>
        </w:rPr>
        <w:t>日</w:t>
      </w:r>
      <w:r>
        <w:rPr>
          <w:rFonts w:hint="eastAsia"/>
        </w:rPr>
        <w:t>-4</w:t>
      </w:r>
      <w:r>
        <w:rPr>
          <w:rFonts w:hint="eastAsia"/>
        </w:rPr>
        <w:t>月</w:t>
      </w:r>
      <w:r>
        <w:rPr>
          <w:rFonts w:hint="eastAsia"/>
        </w:rPr>
        <w:t>20</w:t>
      </w:r>
      <w:r>
        <w:rPr>
          <w:rFonts w:hint="eastAsia"/>
        </w:rPr>
        <w:t>日间进行。</w:t>
      </w:r>
      <w:r>
        <w:rPr>
          <w:rFonts w:hint="eastAsia"/>
        </w:rPr>
        <w:t>具体复试时间以复试通知书为准。</w:t>
      </w:r>
    </w:p>
    <w:p>
      <w:pPr>
        <w:pStyle w:val="style1"/>
        <w:rPr/>
      </w:pPr>
      <w:r>
        <w:t>复试比例</w:t>
      </w:r>
    </w:p>
    <w:p>
      <w:pPr>
        <w:pStyle w:val="style0"/>
        <w:ind w:firstLine="640"/>
        <w:rPr/>
      </w:pPr>
      <w:r>
        <w:rPr>
          <w:rFonts w:hint="eastAsia"/>
        </w:rPr>
        <w:t>第</w:t>
      </w:r>
      <w:r>
        <w:t>一志愿</w:t>
      </w:r>
      <w:r>
        <w:rPr>
          <w:rFonts w:hint="eastAsia"/>
          <w:lang w:eastAsia="zh-CN"/>
        </w:rPr>
        <w:t>学生过国家线可参加复试，</w:t>
      </w:r>
      <w:r>
        <w:t>调剂</w:t>
      </w:r>
      <w:r>
        <w:rPr>
          <w:rFonts w:hint="eastAsia"/>
          <w:lang w:eastAsia="zh-CN"/>
        </w:rPr>
        <w:t>生按照</w:t>
      </w:r>
      <w:r>
        <w:t>200%</w:t>
      </w:r>
      <w:r>
        <w:rPr>
          <w:rFonts w:hint="eastAsia"/>
          <w:lang w:eastAsia="zh-CN"/>
        </w:rPr>
        <w:t>复试比例发放复试通知</w:t>
      </w:r>
      <w:r>
        <w:rPr>
          <w:rFonts w:hint="eastAsia"/>
        </w:rPr>
        <w:t>。</w:t>
      </w:r>
    </w:p>
    <w:p>
      <w:pPr>
        <w:pStyle w:val="style1"/>
        <w:rPr/>
      </w:pPr>
      <w:r>
        <w:t>复试方式</w:t>
      </w:r>
    </w:p>
    <w:p>
      <w:pPr>
        <w:pStyle w:val="style0"/>
        <w:ind w:firstLine="640"/>
        <w:rPr/>
      </w:pPr>
      <w:r>
        <w:rPr>
          <w:rFonts w:hint="eastAsia"/>
        </w:rPr>
        <w:t>复试方式为线下综合能力面试，每位考生的面试时间一般为</w:t>
      </w:r>
      <w:r>
        <w:rPr>
          <w:rFonts w:hint="eastAsia"/>
        </w:rPr>
        <w:t>20</w:t>
      </w:r>
      <w:r>
        <w:rPr>
          <w:rFonts w:hint="eastAsia"/>
        </w:rPr>
        <w:t>分钟。</w:t>
      </w:r>
    </w:p>
    <w:p>
      <w:pPr>
        <w:pStyle w:val="style1"/>
        <w:rPr/>
      </w:pPr>
      <w:r>
        <w:t>复试内容</w:t>
      </w:r>
    </w:p>
    <w:tbl>
      <w:tblPr>
        <w:tblW w:w="8301"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6"/>
        <w:gridCol w:w="1525"/>
        <w:gridCol w:w="2168"/>
        <w:gridCol w:w="2922"/>
      </w:tblGrid>
      <w:tr>
        <w:trPr>
          <w:cantSplit/>
          <w:trHeight w:val="136" w:hRule="atLeast"/>
          <w:tblHeader/>
          <w:jc w:val="center"/>
        </w:trPr>
        <w:tc>
          <w:tcPr>
            <w:tcW w:w="1686" w:type="dxa"/>
            <w:tcBorders/>
            <w:shd w:val="clear" w:color="auto" w:fill="d9d9d9"/>
            <w:tcMar>
              <w:left w:w="120" w:type="dxa"/>
              <w:right w:w="120" w:type="dxa"/>
            </w:tcMar>
          </w:tcPr>
          <w:p>
            <w:pPr>
              <w:pStyle w:val="style0"/>
              <w:ind w:firstLine="0" w:firstLineChars="0"/>
              <w:jc w:val="center"/>
              <w:rPr>
                <w:b/>
                <w:bCs/>
              </w:rPr>
            </w:pPr>
            <w:r>
              <w:rPr>
                <w:rFonts w:hint="eastAsia"/>
                <w:b/>
                <w:bCs/>
              </w:rPr>
              <w:t>研究方向</w:t>
            </w:r>
          </w:p>
        </w:tc>
        <w:tc>
          <w:tcPr>
            <w:tcW w:w="1525" w:type="dxa"/>
            <w:tcBorders/>
            <w:shd w:val="clear" w:color="auto" w:fill="d9d9d9"/>
            <w:tcMar>
              <w:left w:w="120" w:type="dxa"/>
              <w:right w:w="120" w:type="dxa"/>
            </w:tcMar>
          </w:tcPr>
          <w:p>
            <w:pPr>
              <w:pStyle w:val="style0"/>
              <w:ind w:firstLine="0" w:firstLineChars="0"/>
              <w:jc w:val="center"/>
              <w:rPr>
                <w:b/>
                <w:bCs/>
              </w:rPr>
            </w:pPr>
            <w:r>
              <w:rPr>
                <w:rFonts w:hint="eastAsia"/>
                <w:b/>
                <w:bCs/>
              </w:rPr>
              <w:t>展示内容</w:t>
            </w:r>
          </w:p>
        </w:tc>
        <w:tc>
          <w:tcPr>
            <w:tcW w:w="2168" w:type="dxa"/>
            <w:tcBorders/>
            <w:shd w:val="clear" w:color="auto" w:fill="d9d9d9"/>
            <w:tcMar>
              <w:left w:w="120" w:type="dxa"/>
              <w:right w:w="120" w:type="dxa"/>
            </w:tcMar>
          </w:tcPr>
          <w:p>
            <w:pPr>
              <w:pStyle w:val="style0"/>
              <w:ind w:firstLine="0" w:firstLineChars="0"/>
              <w:jc w:val="center"/>
              <w:rPr>
                <w:b/>
                <w:bCs/>
              </w:rPr>
            </w:pPr>
            <w:r>
              <w:rPr>
                <w:rFonts w:hint="eastAsia"/>
                <w:b/>
                <w:bCs/>
              </w:rPr>
              <w:t>展示时长</w:t>
            </w:r>
          </w:p>
        </w:tc>
        <w:tc>
          <w:tcPr>
            <w:tcW w:w="2922" w:type="dxa"/>
            <w:tcBorders/>
            <w:shd w:val="clear" w:color="auto" w:fill="d9d9d9"/>
            <w:tcMar/>
          </w:tcPr>
          <w:p>
            <w:pPr>
              <w:pStyle w:val="style0"/>
              <w:ind w:firstLine="0" w:firstLineChars="0"/>
              <w:jc w:val="center"/>
              <w:rPr>
                <w:b/>
                <w:bCs/>
              </w:rPr>
            </w:pPr>
            <w:r>
              <w:rPr>
                <w:rFonts w:hint="eastAsia"/>
                <w:b/>
                <w:bCs/>
              </w:rPr>
              <w:t>要求与备注</w:t>
            </w:r>
          </w:p>
        </w:tc>
      </w:tr>
      <w:tr>
        <w:tblPrEx/>
        <w:trPr>
          <w:cantSplit/>
          <w:trHeight w:val="635" w:hRule="atLeast"/>
          <w:jc w:val="center"/>
        </w:trPr>
        <w:tc>
          <w:tcPr>
            <w:tcW w:w="1686" w:type="dxa"/>
            <w:tcBorders/>
            <w:shd w:val="clear" w:color="auto" w:fill="auto"/>
            <w:tcMar>
              <w:left w:w="120" w:type="dxa"/>
              <w:right w:w="120" w:type="dxa"/>
            </w:tcMar>
            <w:vAlign w:val="center"/>
          </w:tcPr>
          <w:p>
            <w:pPr>
              <w:pStyle w:val="style0"/>
              <w:ind w:firstLine="0" w:firstLineChars="0"/>
              <w:jc w:val="center"/>
              <w:rPr>
                <w:b/>
                <w:bCs/>
              </w:rPr>
            </w:pPr>
            <w:r>
              <w:rPr>
                <w:rFonts w:hint="eastAsia"/>
                <w:b/>
                <w:bCs/>
              </w:rPr>
              <w:t>音乐教育</w:t>
            </w:r>
          </w:p>
        </w:tc>
        <w:tc>
          <w:tcPr>
            <w:tcW w:w="1525" w:type="dxa"/>
            <w:tcBorders/>
            <w:shd w:val="clear" w:color="auto" w:fill="auto"/>
            <w:tcMar>
              <w:left w:w="120" w:type="dxa"/>
              <w:right w:w="120" w:type="dxa"/>
            </w:tcMar>
            <w:vAlign w:val="center"/>
          </w:tcPr>
          <w:p>
            <w:pPr>
              <w:pStyle w:val="style0"/>
              <w:ind w:firstLine="0" w:firstLineChars="0"/>
              <w:jc w:val="center"/>
              <w:rPr/>
            </w:pPr>
            <w:r>
              <w:rPr>
                <w:rFonts w:hint="eastAsia"/>
              </w:rPr>
              <w:t>自弹自唱</w:t>
            </w:r>
          </w:p>
        </w:tc>
        <w:tc>
          <w:tcPr>
            <w:tcW w:w="2168" w:type="dxa"/>
            <w:tcBorders/>
            <w:shd w:val="clear" w:color="auto" w:fill="auto"/>
            <w:tcMar>
              <w:left w:w="120" w:type="dxa"/>
              <w:right w:w="120" w:type="dxa"/>
            </w:tcMar>
            <w:vAlign w:val="center"/>
          </w:tcPr>
          <w:p>
            <w:pPr>
              <w:pStyle w:val="style0"/>
              <w:ind w:firstLine="0" w:firstLineChars="0"/>
              <w:jc w:val="center"/>
              <w:rPr/>
            </w:pPr>
            <w:r>
              <w:rPr>
                <w:rFonts w:hint="eastAsia"/>
              </w:rPr>
              <w:t>不少于</w:t>
            </w:r>
            <w:r>
              <w:rPr>
                <w:rFonts w:hint="eastAsia"/>
              </w:rPr>
              <w:t>10</w:t>
            </w:r>
            <w:r>
              <w:rPr>
                <w:rFonts w:hint="eastAsia"/>
              </w:rPr>
              <w:t>分钟</w:t>
            </w:r>
          </w:p>
        </w:tc>
        <w:tc>
          <w:tcPr>
            <w:tcW w:w="2922" w:type="dxa"/>
            <w:tcBorders/>
            <w:tcMar/>
            <w:vAlign w:val="center"/>
          </w:tcPr>
          <w:p>
            <w:pPr>
              <w:pStyle w:val="style0"/>
              <w:ind w:firstLine="640"/>
              <w:rPr/>
            </w:pPr>
            <w:r>
              <w:rPr>
                <w:rFonts w:hint="eastAsia"/>
              </w:rPr>
              <w:t>伴奏乐器不限，正谱或即兴伴奏。可在展示时长内进行多方面技能展示。</w:t>
            </w:r>
          </w:p>
        </w:tc>
      </w:tr>
      <w:tr>
        <w:tblPrEx/>
        <w:trPr>
          <w:cantSplit/>
          <w:trHeight w:val="381" w:hRule="atLeast"/>
          <w:jc w:val="center"/>
        </w:trPr>
        <w:tc>
          <w:tcPr>
            <w:tcW w:w="1686" w:type="dxa"/>
            <w:tcBorders/>
            <w:shd w:val="clear" w:color="auto" w:fill="auto"/>
            <w:tcMar>
              <w:left w:w="120" w:type="dxa"/>
              <w:right w:w="120" w:type="dxa"/>
            </w:tcMar>
            <w:vAlign w:val="center"/>
          </w:tcPr>
          <w:p>
            <w:pPr>
              <w:pStyle w:val="style0"/>
              <w:ind w:firstLine="0" w:firstLineChars="0"/>
              <w:jc w:val="center"/>
              <w:rPr>
                <w:b/>
                <w:bCs/>
              </w:rPr>
            </w:pPr>
            <w:r>
              <w:rPr>
                <w:rFonts w:hint="eastAsia"/>
                <w:b/>
                <w:bCs/>
              </w:rPr>
              <w:t>声乐演唱</w:t>
            </w:r>
          </w:p>
        </w:tc>
        <w:tc>
          <w:tcPr>
            <w:tcW w:w="1525" w:type="dxa"/>
            <w:tcBorders/>
            <w:shd w:val="clear" w:color="auto" w:fill="auto"/>
            <w:tcMar>
              <w:left w:w="120" w:type="dxa"/>
              <w:right w:w="120" w:type="dxa"/>
            </w:tcMar>
            <w:vAlign w:val="center"/>
          </w:tcPr>
          <w:p>
            <w:pPr>
              <w:pStyle w:val="style0"/>
              <w:ind w:firstLine="0" w:firstLineChars="0"/>
              <w:jc w:val="center"/>
              <w:rPr/>
            </w:pPr>
            <w:r>
              <w:rPr>
                <w:rFonts w:hint="eastAsia"/>
              </w:rPr>
              <w:t>演唱</w:t>
            </w:r>
          </w:p>
        </w:tc>
        <w:tc>
          <w:tcPr>
            <w:tcW w:w="2168" w:type="dxa"/>
            <w:tcBorders/>
            <w:shd w:val="clear" w:color="auto" w:fill="auto"/>
            <w:tcMar>
              <w:left w:w="120" w:type="dxa"/>
              <w:right w:w="120" w:type="dxa"/>
            </w:tcMar>
            <w:vAlign w:val="center"/>
          </w:tcPr>
          <w:p>
            <w:pPr>
              <w:pStyle w:val="style0"/>
              <w:ind w:firstLine="0" w:firstLineChars="0"/>
              <w:jc w:val="center"/>
              <w:rPr/>
            </w:pPr>
            <w:r>
              <w:rPr>
                <w:rFonts w:hint="eastAsia"/>
              </w:rPr>
              <w:t>不少于</w:t>
            </w:r>
            <w:r>
              <w:rPr>
                <w:rFonts w:hint="eastAsia"/>
              </w:rPr>
              <w:t>10</w:t>
            </w:r>
            <w:r>
              <w:rPr>
                <w:rFonts w:hint="eastAsia"/>
              </w:rPr>
              <w:t>分钟</w:t>
            </w:r>
          </w:p>
        </w:tc>
        <w:tc>
          <w:tcPr>
            <w:tcW w:w="2922" w:type="dxa"/>
            <w:tcBorders/>
            <w:tcMar/>
            <w:vAlign w:val="center"/>
          </w:tcPr>
          <w:p>
            <w:pPr>
              <w:pStyle w:val="style0"/>
              <w:ind w:firstLine="640"/>
              <w:rPr/>
            </w:pPr>
            <w:r>
              <w:rPr>
                <w:rFonts w:hint="eastAsia"/>
              </w:rPr>
              <w:t>唱法不限，全部采用自备伴奏带，考场提供音响、话筒等设备。</w:t>
            </w:r>
          </w:p>
        </w:tc>
      </w:tr>
      <w:tr>
        <w:tblPrEx/>
        <w:trPr>
          <w:cantSplit/>
          <w:trHeight w:val="842" w:hRule="atLeast"/>
          <w:jc w:val="center"/>
        </w:trPr>
        <w:tc>
          <w:tcPr>
            <w:tcW w:w="1686" w:type="dxa"/>
            <w:tcBorders/>
            <w:shd w:val="clear" w:color="auto" w:fill="auto"/>
            <w:tcMar>
              <w:left w:w="120" w:type="dxa"/>
              <w:right w:w="120" w:type="dxa"/>
            </w:tcMar>
            <w:vAlign w:val="center"/>
          </w:tcPr>
          <w:p>
            <w:pPr>
              <w:pStyle w:val="style0"/>
              <w:ind w:firstLine="0" w:firstLineChars="0"/>
              <w:jc w:val="center"/>
              <w:rPr>
                <w:b/>
                <w:bCs/>
              </w:rPr>
            </w:pPr>
            <w:r>
              <w:rPr>
                <w:rFonts w:hint="eastAsia"/>
                <w:b/>
                <w:bCs/>
              </w:rPr>
              <w:t>器乐演奏</w:t>
            </w:r>
          </w:p>
        </w:tc>
        <w:tc>
          <w:tcPr>
            <w:tcW w:w="1525" w:type="dxa"/>
            <w:tcBorders/>
            <w:shd w:val="clear" w:color="auto" w:fill="auto"/>
            <w:tcMar>
              <w:left w:w="120" w:type="dxa"/>
              <w:right w:w="120" w:type="dxa"/>
            </w:tcMar>
            <w:vAlign w:val="center"/>
          </w:tcPr>
          <w:p>
            <w:pPr>
              <w:pStyle w:val="style0"/>
              <w:ind w:firstLine="0" w:firstLineChars="0"/>
              <w:jc w:val="center"/>
              <w:rPr/>
            </w:pPr>
            <w:r>
              <w:rPr>
                <w:rFonts w:hint="eastAsia"/>
              </w:rPr>
              <w:t>演奏</w:t>
            </w:r>
          </w:p>
        </w:tc>
        <w:tc>
          <w:tcPr>
            <w:tcW w:w="2168" w:type="dxa"/>
            <w:tcBorders/>
            <w:shd w:val="clear" w:color="auto" w:fill="auto"/>
            <w:tcMar>
              <w:left w:w="120" w:type="dxa"/>
              <w:right w:w="120" w:type="dxa"/>
            </w:tcMar>
            <w:vAlign w:val="center"/>
          </w:tcPr>
          <w:p>
            <w:pPr>
              <w:pStyle w:val="style0"/>
              <w:ind w:firstLine="0" w:firstLineChars="0"/>
              <w:jc w:val="center"/>
              <w:rPr/>
            </w:pPr>
            <w:r>
              <w:rPr>
                <w:rFonts w:hint="eastAsia"/>
              </w:rPr>
              <w:t>不少于</w:t>
            </w:r>
            <w:r>
              <w:rPr>
                <w:rFonts w:hint="eastAsia"/>
              </w:rPr>
              <w:t>10</w:t>
            </w:r>
            <w:r>
              <w:rPr>
                <w:rFonts w:hint="eastAsia"/>
              </w:rPr>
              <w:t>分钟</w:t>
            </w:r>
          </w:p>
        </w:tc>
        <w:tc>
          <w:tcPr>
            <w:tcW w:w="2922" w:type="dxa"/>
            <w:tcBorders/>
            <w:tcMar/>
            <w:vAlign w:val="center"/>
          </w:tcPr>
          <w:p>
            <w:pPr>
              <w:pStyle w:val="style0"/>
              <w:ind w:firstLine="640"/>
              <w:rPr/>
            </w:pPr>
            <w:r>
              <w:rPr>
                <w:rFonts w:hint="eastAsia"/>
              </w:rPr>
              <w:t>曲目风格不限，考场提供钢琴，其它乐器自备。</w:t>
            </w:r>
          </w:p>
        </w:tc>
      </w:tr>
      <w:tr>
        <w:tblPrEx/>
        <w:trPr>
          <w:cantSplit/>
          <w:trHeight w:val="562" w:hRule="atLeast"/>
          <w:jc w:val="center"/>
        </w:trPr>
        <w:tc>
          <w:tcPr>
            <w:tcW w:w="1686" w:type="dxa"/>
            <w:tcBorders/>
            <w:shd w:val="clear" w:color="auto" w:fill="auto"/>
            <w:tcMar>
              <w:left w:w="120" w:type="dxa"/>
              <w:right w:w="120" w:type="dxa"/>
            </w:tcMar>
            <w:vAlign w:val="center"/>
          </w:tcPr>
          <w:p>
            <w:pPr>
              <w:pStyle w:val="style0"/>
              <w:ind w:firstLine="0" w:firstLineChars="0"/>
              <w:jc w:val="center"/>
              <w:rPr>
                <w:b/>
                <w:bCs/>
              </w:rPr>
            </w:pPr>
            <w:r>
              <w:rPr>
                <w:rFonts w:hint="eastAsia"/>
                <w:b/>
                <w:bCs/>
              </w:rPr>
              <w:t>民族歌舞</w:t>
            </w:r>
          </w:p>
        </w:tc>
        <w:tc>
          <w:tcPr>
            <w:tcW w:w="1525" w:type="dxa"/>
            <w:tcBorders/>
            <w:shd w:val="clear" w:color="auto" w:fill="auto"/>
            <w:tcMar>
              <w:left w:w="120" w:type="dxa"/>
              <w:right w:w="120" w:type="dxa"/>
            </w:tcMar>
            <w:vAlign w:val="center"/>
          </w:tcPr>
          <w:p>
            <w:pPr>
              <w:pStyle w:val="style0"/>
              <w:ind w:firstLine="0" w:firstLineChars="0"/>
              <w:jc w:val="center"/>
              <w:rPr/>
            </w:pPr>
            <w:r>
              <w:rPr>
                <w:rFonts w:hint="eastAsia"/>
              </w:rPr>
              <w:t>歌舞表演</w:t>
            </w:r>
          </w:p>
        </w:tc>
        <w:tc>
          <w:tcPr>
            <w:tcW w:w="2168" w:type="dxa"/>
            <w:tcBorders/>
            <w:shd w:val="clear" w:color="auto" w:fill="auto"/>
            <w:tcMar>
              <w:left w:w="120" w:type="dxa"/>
              <w:right w:w="120" w:type="dxa"/>
            </w:tcMar>
            <w:vAlign w:val="center"/>
          </w:tcPr>
          <w:p>
            <w:pPr>
              <w:pStyle w:val="style0"/>
              <w:ind w:firstLine="0" w:firstLineChars="0"/>
              <w:jc w:val="center"/>
              <w:rPr/>
            </w:pPr>
            <w:r>
              <w:rPr>
                <w:rFonts w:hint="eastAsia"/>
              </w:rPr>
              <w:t>不少于</w:t>
            </w:r>
            <w:r>
              <w:rPr>
                <w:rFonts w:hint="eastAsia"/>
              </w:rPr>
              <w:t>10</w:t>
            </w:r>
            <w:r>
              <w:rPr>
                <w:rFonts w:hint="eastAsia"/>
              </w:rPr>
              <w:t>分钟</w:t>
            </w:r>
          </w:p>
        </w:tc>
        <w:tc>
          <w:tcPr>
            <w:tcW w:w="2922" w:type="dxa"/>
            <w:tcBorders/>
            <w:tcMar/>
            <w:vAlign w:val="center"/>
          </w:tcPr>
          <w:p>
            <w:pPr>
              <w:pStyle w:val="style0"/>
              <w:ind w:firstLine="640"/>
              <w:rPr/>
            </w:pPr>
            <w:r>
              <w:rPr>
                <w:rFonts w:hint="eastAsia"/>
              </w:rPr>
              <w:t>曲目风格不限，全部采用自备伴奏带，考场提供音响、话筒等设备。</w:t>
            </w:r>
          </w:p>
        </w:tc>
      </w:tr>
    </w:tbl>
    <w:p>
      <w:pPr>
        <w:pStyle w:val="style2"/>
        <w:keepNext w:val="false"/>
        <w:keepLines w:val="false"/>
        <w:ind w:left="0" w:firstLine="0"/>
        <w:rPr/>
      </w:pPr>
      <w:r>
        <w:rPr>
          <w:rFonts w:hint="eastAsia"/>
        </w:rPr>
        <w:t>使用</w:t>
      </w:r>
      <w:r>
        <w:rPr>
          <w:rFonts w:hint="eastAsia"/>
        </w:rPr>
        <w:t>ppt</w:t>
      </w:r>
      <w:r>
        <w:rPr>
          <w:rFonts w:hint="eastAsia"/>
        </w:rPr>
        <w:t>进行自我介绍</w:t>
      </w:r>
      <w:r>
        <w:rPr>
          <w:rFonts w:hint="eastAsia"/>
        </w:rPr>
        <w:t>，展示能说明综合能力的支撑材料原件。</w:t>
      </w:r>
    </w:p>
    <w:p>
      <w:pPr>
        <w:pStyle w:val="style2"/>
        <w:keepNext w:val="false"/>
        <w:keepLines w:val="false"/>
        <w:ind w:left="0" w:firstLine="0"/>
        <w:rPr/>
      </w:pPr>
      <w:r>
        <w:rPr>
          <w:rFonts w:hint="eastAsia"/>
        </w:rPr>
        <w:t>专</w:t>
      </w:r>
      <w:r>
        <w:rPr>
          <w:rFonts w:hint="eastAsia"/>
        </w:rPr>
        <w:t>业技能展示，曲目数量不限，</w:t>
      </w:r>
      <w:r>
        <w:rPr>
          <w:rFonts w:hint="eastAsia"/>
        </w:rPr>
        <w:t>鼓励多方面专业技能展</w:t>
      </w:r>
      <w:r>
        <w:rPr>
          <w:rFonts w:hint="eastAsia"/>
        </w:rPr>
        <w:t>示，</w:t>
      </w:r>
      <w:r>
        <w:rPr>
          <w:rFonts w:hint="eastAsia"/>
        </w:rPr>
        <w:t>时间</w:t>
      </w:r>
      <w:r>
        <w:rPr>
          <w:rFonts w:hint="eastAsia"/>
        </w:rPr>
        <w:t>控制在</w:t>
      </w:r>
      <w:r>
        <w:rPr>
          <w:rFonts w:hint="eastAsia"/>
        </w:rPr>
        <w:t>1</w:t>
      </w:r>
      <w:r>
        <w:t>0</w:t>
      </w:r>
      <w:r>
        <w:rPr>
          <w:rFonts w:hint="eastAsia"/>
        </w:rPr>
        <w:t>分钟以内</w:t>
      </w:r>
      <w:r>
        <w:rPr>
          <w:rFonts w:hint="eastAsia"/>
        </w:rPr>
        <w:t>，</w:t>
      </w:r>
      <w:r>
        <w:rPr>
          <w:rFonts w:hint="eastAsia"/>
        </w:rPr>
        <w:t>将作为研究方向</w:t>
      </w:r>
      <w:r>
        <w:rPr>
          <w:rFonts w:hint="eastAsia"/>
        </w:rPr>
        <w:t>双向</w:t>
      </w:r>
      <w:r>
        <w:rPr>
          <w:rFonts w:hint="eastAsia"/>
        </w:rPr>
        <w:t>选择的重要依据。</w:t>
      </w:r>
      <w:r>
        <w:rPr>
          <w:rFonts w:hint="eastAsia"/>
        </w:rPr>
        <w:t>同等学历考生，除进行专业技能展示之外，现场加试视唱练耳</w:t>
      </w:r>
      <w:r>
        <w:rPr>
          <w:rFonts w:hint="eastAsia"/>
        </w:rPr>
        <w:t>，</w:t>
      </w:r>
      <w:r>
        <w:t>采取随机抽题的形式进行考核</w:t>
      </w:r>
      <w:r>
        <w:t>。</w:t>
      </w:r>
      <w:r>
        <w:rPr>
          <w:rFonts w:hint="eastAsia"/>
        </w:rPr>
        <w:t>专业技能展示内容与要求见</w:t>
      </w:r>
      <w:r>
        <w:rPr>
          <w:rFonts w:hint="eastAsia"/>
        </w:rPr>
        <w:t>上</w:t>
      </w:r>
      <w:r>
        <w:rPr>
          <w:rFonts w:hint="eastAsia"/>
        </w:rPr>
        <w:t>表。</w:t>
      </w:r>
    </w:p>
    <w:p>
      <w:pPr>
        <w:pStyle w:val="style2"/>
        <w:ind w:left="0" w:firstLine="0"/>
        <w:rPr>
          <w:rFonts w:hint="eastAsia"/>
        </w:rPr>
      </w:pPr>
      <w:r>
        <w:rPr>
          <w:rFonts w:hint="eastAsia"/>
        </w:rPr>
        <w:t>提问环节。</w:t>
      </w:r>
    </w:p>
    <w:p>
      <w:pPr>
        <w:pStyle w:val="style1"/>
        <w:rPr/>
      </w:pPr>
      <w:r>
        <w:t>复试组织与</w:t>
      </w:r>
      <w:r>
        <w:t>实施</w:t>
      </w:r>
    </w:p>
    <w:p>
      <w:pPr>
        <w:pStyle w:val="style2"/>
        <w:numPr>
          <w:ilvl w:val="0"/>
          <w:numId w:val="24"/>
        </w:numPr>
        <w:rPr/>
      </w:pPr>
      <w:r>
        <w:t>严禁携带手机等通讯工具进入考试场所</w:t>
      </w:r>
      <w:r>
        <w:rPr>
          <w:rFonts w:hint="eastAsia"/>
        </w:rPr>
        <w:t>。</w:t>
      </w:r>
    </w:p>
    <w:p>
      <w:pPr>
        <w:pStyle w:val="style2"/>
        <w:ind w:left="0" w:firstLine="0"/>
        <w:rPr/>
      </w:pPr>
      <w:r>
        <w:rPr>
          <w:rFonts w:hint="eastAsia"/>
        </w:rPr>
        <w:t>考生进入面试</w:t>
      </w:r>
      <w:r>
        <w:rPr>
          <w:rFonts w:hint="eastAsia"/>
        </w:rPr>
        <w:t>场地前</w:t>
      </w:r>
      <w:r>
        <w:rPr>
          <w:rFonts w:hint="eastAsia"/>
        </w:rPr>
        <w:t>，查验考生</w:t>
      </w:r>
      <w:r>
        <w:rPr>
          <w:rFonts w:hint="eastAsia"/>
        </w:rPr>
        <w:t>的</w:t>
      </w:r>
      <w:r>
        <w:rPr>
          <w:rFonts w:hint="eastAsia"/>
        </w:rPr>
        <w:t>证件</w:t>
      </w:r>
      <w:r>
        <w:rPr>
          <w:rFonts w:hint="eastAsia"/>
        </w:rPr>
        <w:t>，对</w:t>
      </w:r>
      <w:r>
        <w:t>身份证、学生证、学历学位证书、学历学籍核验结果等进行严格审查，确认复试资格，对不符合规定者，不予复试。</w:t>
      </w:r>
    </w:p>
    <w:p>
      <w:pPr>
        <w:pStyle w:val="style2"/>
        <w:ind w:left="0" w:firstLine="0"/>
        <w:rPr/>
      </w:pPr>
      <w:r>
        <w:t>考前考生签署《诚信复试承诺书》，并严格对考生实行人脸识别比对，加强对考生特别是报考专项计划、申请加分等考生的身份审核，严防替考。</w:t>
      </w:r>
    </w:p>
    <w:p>
      <w:pPr>
        <w:pStyle w:val="style1"/>
        <w:rPr/>
      </w:pPr>
      <w:r>
        <w:t>成绩的计算与使用</w:t>
      </w:r>
    </w:p>
    <w:p>
      <w:pPr>
        <w:pStyle w:val="style0"/>
        <w:ind w:firstLine="640"/>
        <w:rPr>
          <w:rFonts w:hint="eastAsia"/>
        </w:rPr>
      </w:pPr>
      <w:r>
        <w:rPr>
          <w:rFonts w:hint="eastAsia"/>
        </w:rPr>
        <w:t>综合能力面试</w:t>
      </w:r>
      <w:r>
        <w:rPr>
          <w:rFonts w:hint="eastAsia"/>
        </w:rPr>
        <w:t>满分</w:t>
      </w:r>
      <w:r>
        <w:rPr>
          <w:rFonts w:hint="eastAsia"/>
        </w:rPr>
        <w:t>100</w:t>
      </w:r>
      <w:r>
        <w:rPr>
          <w:rFonts w:hint="eastAsia"/>
        </w:rPr>
        <w:t>分</w:t>
      </w:r>
      <w:r>
        <w:rPr>
          <w:rFonts w:hint="eastAsia"/>
        </w:rPr>
        <w:t>，复试小组成员打分，去掉一个最高分和最低分，取平均得分为综合能力面试成绩</w:t>
      </w:r>
      <w:r>
        <w:rPr>
          <w:rFonts w:hint="eastAsia"/>
        </w:rPr>
        <w:t>。</w:t>
      </w:r>
      <w:r>
        <w:rPr>
          <w:rFonts w:hint="eastAsia"/>
        </w:rPr>
        <w:t>最终成绩由初试成绩和复试成绩组成，其中初试成绩占</w:t>
      </w:r>
      <w:r>
        <w:rPr>
          <w:rFonts w:hint="eastAsia"/>
        </w:rPr>
        <w:t>最终</w:t>
      </w:r>
      <w:r>
        <w:rPr>
          <w:rFonts w:hint="eastAsia"/>
        </w:rPr>
        <w:t>成绩的</w:t>
      </w:r>
      <w:r>
        <w:rPr>
          <w:rFonts w:hint="eastAsia"/>
        </w:rPr>
        <w:t>4</w:t>
      </w:r>
      <w:r>
        <w:t>0%</w:t>
      </w:r>
      <w:r>
        <w:rPr>
          <w:rFonts w:hint="eastAsia"/>
        </w:rPr>
        <w:t>，复试成绩占</w:t>
      </w:r>
      <w:r>
        <w:rPr>
          <w:rFonts w:hint="eastAsia"/>
        </w:rPr>
        <w:t>最终</w:t>
      </w:r>
      <w:r>
        <w:rPr>
          <w:rFonts w:hint="eastAsia"/>
        </w:rPr>
        <w:t>成绩的</w:t>
      </w:r>
      <w:r>
        <w:rPr>
          <w:rFonts w:hint="eastAsia"/>
        </w:rPr>
        <w:t>6</w:t>
      </w:r>
      <w:r>
        <w:t>0%</w:t>
      </w:r>
      <w:r>
        <w:rPr>
          <w:rFonts w:hint="eastAsia"/>
        </w:rPr>
        <w:t>。</w:t>
      </w:r>
    </w:p>
    <w:p>
      <w:pPr>
        <w:pStyle w:val="style1"/>
        <w:rPr/>
      </w:pPr>
      <w:r>
        <w:t>录取原则</w:t>
      </w:r>
    </w:p>
    <w:p>
      <w:pPr>
        <w:pStyle w:val="style0"/>
        <w:ind w:firstLine="640"/>
        <w:rPr/>
      </w:pPr>
      <w:r>
        <w:rPr>
          <w:rFonts w:hint="eastAsia"/>
        </w:rPr>
        <w:t>根据艺术（音乐）</w:t>
      </w:r>
      <w:r>
        <w:rPr>
          <w:rFonts w:hint="eastAsia"/>
        </w:rPr>
        <w:t>专业硕士研究生</w:t>
      </w:r>
      <w:r>
        <w:rPr>
          <w:rFonts w:hint="eastAsia"/>
        </w:rPr>
        <w:t>录取总名额，按照各</w:t>
      </w:r>
      <w:r>
        <w:rPr>
          <w:rFonts w:hint="eastAsia"/>
        </w:rPr>
        <w:t>研究</w:t>
      </w:r>
      <w:r>
        <w:rPr>
          <w:rFonts w:hint="eastAsia"/>
        </w:rPr>
        <w:t>方向均衡分配录取名额的原则</w:t>
      </w:r>
      <w:r>
        <w:rPr>
          <w:rFonts w:hint="eastAsia"/>
        </w:rPr>
        <w:t>进行分配。</w:t>
      </w:r>
      <w:r>
        <w:rPr>
          <w:rFonts w:hint="eastAsia"/>
        </w:rPr>
        <w:t>如某研究方向考生少于均衡分配录取名额且综合能力面试成绩低于平均成绩，该研究方向的剩余录取名额再分配给其它研究方向。</w:t>
      </w:r>
    </w:p>
    <w:p>
      <w:pPr>
        <w:pStyle w:val="style0"/>
        <w:ind w:firstLine="640"/>
        <w:rPr/>
      </w:pPr>
      <w:r>
        <w:rPr>
          <w:rFonts w:hint="eastAsia"/>
        </w:rPr>
        <w:t>各</w:t>
      </w:r>
      <w:r>
        <w:rPr>
          <w:rFonts w:hint="eastAsia"/>
        </w:rPr>
        <w:t>研究</w:t>
      </w:r>
      <w:r>
        <w:rPr>
          <w:rFonts w:hint="eastAsia"/>
        </w:rPr>
        <w:t>方向考生</w:t>
      </w:r>
      <w:r>
        <w:rPr>
          <w:rFonts w:hint="eastAsia"/>
        </w:rPr>
        <w:t>的最终</w:t>
      </w:r>
      <w:r>
        <w:rPr>
          <w:rFonts w:hint="eastAsia"/>
        </w:rPr>
        <w:t>成绩由高到低进行排序与录取</w:t>
      </w:r>
      <w:r>
        <w:rPr>
          <w:rFonts w:hint="eastAsia"/>
        </w:rPr>
        <w:t>，得分相同</w:t>
      </w:r>
      <w:r>
        <w:rPr>
          <w:rFonts w:hint="eastAsia"/>
        </w:rPr>
        <w:t>的情况下</w:t>
      </w:r>
      <w:r>
        <w:rPr>
          <w:rFonts w:hint="eastAsia"/>
        </w:rPr>
        <w:t>，</w:t>
      </w:r>
      <w:r>
        <w:rPr>
          <w:rFonts w:hint="eastAsia"/>
        </w:rPr>
        <w:t>综合能力面试成绩高者优先录取。</w:t>
      </w:r>
    </w:p>
    <w:p>
      <w:pPr>
        <w:pStyle w:val="style0"/>
        <w:ind w:firstLine="0" w:firstLineChars="0"/>
        <w:rPr/>
      </w:pPr>
    </w:p>
    <w:p>
      <w:pPr>
        <w:pStyle w:val="style0"/>
        <w:ind w:firstLine="0" w:firstLineChars="0"/>
        <w:rPr/>
      </w:pPr>
    </w:p>
    <w:p>
      <w:pPr>
        <w:pStyle w:val="style0"/>
        <w:ind w:firstLine="0" w:firstLineChars="0"/>
        <w:rPr/>
      </w:pPr>
    </w:p>
    <w:p>
      <w:pPr>
        <w:pStyle w:val="style0"/>
        <w:ind w:firstLine="640"/>
        <w:rPr/>
      </w:pPr>
      <w:r>
        <w:rPr>
          <w:rFonts w:hint="eastAsia"/>
        </w:rPr>
        <w:t xml:space="preserve">                 </w:t>
      </w:r>
      <w:r>
        <w:t xml:space="preserve">     </w:t>
      </w:r>
      <w:r>
        <w:rPr>
          <w:rFonts w:hint="eastAsia"/>
        </w:rPr>
        <w:t xml:space="preserve">          </w:t>
      </w:r>
      <w:r>
        <w:rPr>
          <w:rFonts w:hint="eastAsia"/>
        </w:rPr>
        <w:t>艺术学院</w:t>
      </w:r>
    </w:p>
    <w:p>
      <w:pPr>
        <w:pStyle w:val="style0"/>
        <w:ind w:firstLine="640"/>
        <w:rPr/>
      </w:pPr>
      <w:r>
        <w:rPr>
          <w:rFonts w:hint="eastAsia"/>
        </w:rPr>
        <w:t xml:space="preserve">               </w:t>
      </w:r>
      <w:r>
        <w:t xml:space="preserve">         </w:t>
      </w:r>
      <w:r>
        <w:rPr>
          <w:rFonts w:hint="eastAsia"/>
        </w:rPr>
        <w:t xml:space="preserve">     2023</w:t>
      </w:r>
      <w:r>
        <w:rPr>
          <w:rFonts w:hint="eastAsia"/>
        </w:rPr>
        <w:t>年</w:t>
      </w:r>
      <w:r>
        <w:rPr>
          <w:rFonts w:hint="eastAsia"/>
        </w:rPr>
        <w:t>3</w:t>
      </w:r>
      <w:r>
        <w:rPr>
          <w:rFonts w:hint="eastAsia"/>
        </w:rPr>
        <w:t>月</w:t>
      </w:r>
      <w:r>
        <w:rPr>
          <w:rFonts w:hint="eastAsia"/>
        </w:rPr>
        <w:t>22</w:t>
      </w:r>
      <w:r>
        <w:rPr>
          <w:rFonts w:hint="eastAsia"/>
        </w:rPr>
        <w:t>日</w:t>
      </w:r>
    </w:p>
    <w:sectPr>
      <w:footerReference w:type="even" r:id="rId2"/>
      <w:footerReference w:type="default" r:id="rId3"/>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仿宋">
    <w:altName w:val="仿宋"/>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E0002AFF" w:usb1="C000247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right" w:y="1"/>
      <w:ind w:firstLine="360"/>
      <w:rPr>
        <w:rStyle w:val="style41"/>
      </w:rPr>
    </w:pPr>
    <w:r>
      <w:rPr>
        <w:rStyle w:val="style41"/>
      </w:rPr>
      <w:fldChar w:fldCharType="begin"/>
    </w:r>
    <w:r>
      <w:rPr>
        <w:rStyle w:val="style41"/>
      </w:rPr>
      <w:instrText xml:space="preserve"> PAGE </w:instrText>
    </w:r>
    <w:r>
      <w:rPr>
        <w:rStyle w:val="style41"/>
      </w:rPr>
      <w:fldChar w:fldCharType="end"/>
    </w:r>
  </w:p>
  <w:p>
    <w:pPr>
      <w:pStyle w:val="style32"/>
      <w:ind w:right="360" w:firstLine="360"/>
      <w:rPr/>
    </w:pPr>
  </w:p>
</w:ftr>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p>
    <w:pPr>
      <w:pStyle w:val="style32"/>
      <w:framePr w:wrap="none" w:hAnchor="margin" w:vAnchor="text" w:xAlign="right" w:y="1"/>
      <w:ind w:firstLine="360"/>
      <w:rPr>
        <w:rStyle w:val="style41"/>
      </w:rPr>
    </w:pPr>
    <w:r>
      <w:rPr>
        <w:rStyle w:val="style41"/>
      </w:rPr>
      <w:fldChar w:fldCharType="begin"/>
    </w:r>
    <w:r>
      <w:rPr>
        <w:rStyle w:val="style41"/>
      </w:rPr>
      <w:instrText xml:space="preserve"> PAGE </w:instrText>
    </w:r>
    <w:r>
      <w:rPr>
        <w:rStyle w:val="style41"/>
      </w:rPr>
      <w:fldChar w:fldCharType="separate"/>
    </w:r>
    <w:r>
      <w:rPr>
        <w:rStyle w:val="style41"/>
        <w:noProof/>
      </w:rPr>
      <w:t>1</w:t>
    </w:r>
    <w:r>
      <w:rPr>
        <w:rStyle w:val="style41"/>
      </w:rPr>
      <w:fldChar w:fldCharType="end"/>
    </w:r>
  </w:p>
  <w:p>
    <w:pPr>
      <w:pStyle w:val="style32"/>
      <w:ind w:right="360" w:firstLine="36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1BD97CCE"/>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1"/>
    <w:multiLevelType w:val="hybridMultilevel"/>
    <w:tmpl w:val="67D02510"/>
    <w:lvl w:ilvl="0" w:tplc="9462F708">
      <w:start w:val="1"/>
      <w:numFmt w:val="decimal"/>
      <w:pStyle w:val="style3"/>
      <w:lvlText w:val="%1."/>
      <w:lvlJc w:val="left"/>
      <w:pPr>
        <w:ind w:left="0" w:hanging="420"/>
      </w:pPr>
      <w:rPr>
        <w:rFonts w:hint="eastAsia"/>
      </w:rPr>
    </w:lvl>
    <w:lvl w:ilvl="1" w:tplc="04090019">
      <w:start w:val="1"/>
      <w:numFmt w:val="lowerLetter"/>
      <w:lvlText w:val="%2)"/>
      <w:lvlJc w:val="left"/>
      <w:pPr>
        <w:ind w:left="220" w:hanging="420"/>
      </w:pPr>
    </w:lvl>
    <w:lvl w:ilvl="2" w:tplc="0409001B">
      <w:start w:val="1"/>
      <w:numFmt w:val="lowerRoman"/>
      <w:lvlText w:val="%3."/>
      <w:lvlJc w:val="right"/>
      <w:pPr>
        <w:ind w:left="640" w:hanging="420"/>
      </w:pPr>
    </w:lvl>
    <w:lvl w:ilvl="3" w:tplc="0409000F" w:tentative="1">
      <w:start w:val="1"/>
      <w:numFmt w:val="decimal"/>
      <w:lvlText w:val="%4."/>
      <w:lvlJc w:val="left"/>
      <w:pPr>
        <w:ind w:left="1060" w:hanging="420"/>
      </w:pPr>
    </w:lvl>
    <w:lvl w:ilvl="4" w:tplc="04090019" w:tentative="1">
      <w:start w:val="1"/>
      <w:numFmt w:val="lowerLetter"/>
      <w:lvlText w:val="%5)"/>
      <w:lvlJc w:val="left"/>
      <w:pPr>
        <w:ind w:left="1480" w:hanging="420"/>
      </w:pPr>
    </w:lvl>
    <w:lvl w:ilvl="5" w:tplc="0409001B" w:tentative="1">
      <w:start w:val="1"/>
      <w:numFmt w:val="lowerRoman"/>
      <w:lvlText w:val="%6."/>
      <w:lvlJc w:val="right"/>
      <w:pPr>
        <w:ind w:left="1900" w:hanging="420"/>
      </w:pPr>
    </w:lvl>
    <w:lvl w:ilvl="6" w:tplc="0409000F" w:tentative="1">
      <w:start w:val="1"/>
      <w:numFmt w:val="decimal"/>
      <w:lvlText w:val="%7."/>
      <w:lvlJc w:val="left"/>
      <w:pPr>
        <w:ind w:left="2320" w:hanging="420"/>
      </w:pPr>
    </w:lvl>
    <w:lvl w:ilvl="7" w:tplc="04090019" w:tentative="1">
      <w:start w:val="1"/>
      <w:numFmt w:val="lowerLetter"/>
      <w:lvlText w:val="%8)"/>
      <w:lvlJc w:val="left"/>
      <w:pPr>
        <w:ind w:left="2740" w:hanging="420"/>
      </w:pPr>
    </w:lvl>
    <w:lvl w:ilvl="8" w:tplc="0409001B" w:tentative="1">
      <w:start w:val="1"/>
      <w:numFmt w:val="lowerRoman"/>
      <w:lvlText w:val="%9."/>
      <w:lvlJc w:val="right"/>
      <w:pPr>
        <w:ind w:left="3160" w:hanging="420"/>
      </w:pPr>
    </w:lvl>
  </w:abstractNum>
  <w:abstractNum w:abstractNumId="2">
    <w:nsid w:val="00000002"/>
    <w:multiLevelType w:val="hybridMultilevel"/>
    <w:tmpl w:val="92A41738"/>
    <w:lvl w:ilvl="0" w:tplc="D0B2D734">
      <w:start w:val="1"/>
      <w:numFmt w:val="chineseCountingThousand"/>
      <w:pStyle w:val="style1"/>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3">
    <w:nsid w:val="00000003"/>
    <w:multiLevelType w:val="hybridMultilevel"/>
    <w:tmpl w:val="2494BB2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4"/>
    <w:multiLevelType w:val="hybridMultilevel"/>
    <w:tmpl w:val="FF480218"/>
    <w:lvl w:ilvl="0" w:tplc="5F105A7A">
      <w:start w:val="1"/>
      <w:numFmt w:val="chineseCountingThousand"/>
      <w:pStyle w:val="style2"/>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4"/>
  </w:num>
  <w:num w:numId="3">
    <w:abstractNumId w:val="1"/>
  </w:num>
  <w:num w:numId="4">
    <w:abstractNumId w:val="0"/>
  </w:num>
  <w:num w:numId="5">
    <w:abstractNumId w:val="3"/>
  </w:num>
  <w:num w:numId="6">
    <w:abstractNumId w:val="4"/>
    <w:lvlOverride w:ilvl="0">
      <w:startOverride w:val="1"/>
    </w:lvlOverride>
  </w:num>
  <w:num w:numId="7">
    <w:abstractNumId w:val="1"/>
  </w:num>
  <w:num w:numId="8">
    <w:abstractNumId w:val="1"/>
    <w:lvlOverride w:ilvl="0">
      <w:startOverride w:val="1"/>
    </w:lvlOverride>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4"/>
  </w:num>
  <w:num w:numId="16">
    <w:abstractNumId w:val="4"/>
    <w:lvlOverride w:ilvl="0">
      <w:startOverride w:val="1"/>
    </w:lvlOverride>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lvlOverride w:ilvl="0">
      <w:startOverride w:val="1"/>
    </w:lvlOverride>
  </w:num>
  <w:num w:numId="2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68"/>
  <w:bordersDoNotSurroundHeader/>
  <w:bordersDoNotSurroundFooter/>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spacing w:lineRule="auto" w:line="360"/>
      <w:ind w:firstLine="200" w:firstLineChars="200"/>
      <w:jc w:val="both"/>
    </w:pPr>
    <w:rPr>
      <w:rFonts w:cs="Times New Roman (正文 CS 字体)" w:eastAsia="仿宋"/>
      <w:kern w:val="2"/>
      <w:sz w:val="32"/>
      <w:szCs w:val="22"/>
    </w:rPr>
  </w:style>
  <w:style w:type="paragraph" w:styleId="style1">
    <w:name w:val="heading 1"/>
    <w:basedOn w:val="style0"/>
    <w:next w:val="style0"/>
    <w:link w:val="style4097"/>
    <w:qFormat/>
    <w:uiPriority w:val="9"/>
    <w:pPr>
      <w:keepNext/>
      <w:keepLines/>
      <w:numPr>
        <w:ilvl w:val="0"/>
        <w:numId w:val="1"/>
      </w:numPr>
      <w:spacing w:before="340" w:after="330" w:lineRule="auto" w:line="578"/>
      <w:ind w:firstLine="0" w:firstLineChars="0"/>
      <w:outlineLvl w:val="0"/>
    </w:pPr>
    <w:rPr>
      <w:b/>
      <w:bCs/>
      <w:kern w:val="44"/>
      <w:szCs w:val="44"/>
    </w:rPr>
  </w:style>
  <w:style w:type="paragraph" w:styleId="style2">
    <w:name w:val="heading 2"/>
    <w:basedOn w:val="style0"/>
    <w:next w:val="style0"/>
    <w:link w:val="style4099"/>
    <w:uiPriority w:val="9"/>
    <w:pPr>
      <w:keepNext/>
      <w:keepLines/>
      <w:numPr>
        <w:ilvl w:val="0"/>
        <w:numId w:val="2"/>
      </w:numPr>
      <w:spacing w:before="260" w:after="260" w:lineRule="auto" w:line="415"/>
      <w:ind w:firstLineChars="0"/>
      <w:outlineLvl w:val="1"/>
    </w:pPr>
    <w:rPr>
      <w:rFonts w:cs="Times New Roman (标题 CS)"/>
      <w:bCs/>
      <w:szCs w:val="32"/>
    </w:rPr>
  </w:style>
  <w:style w:type="paragraph" w:styleId="style3">
    <w:name w:val="heading 3"/>
    <w:basedOn w:val="style0"/>
    <w:next w:val="style0"/>
    <w:link w:val="style4100"/>
    <w:qFormat/>
    <w:uiPriority w:val="9"/>
    <w:pPr>
      <w:numPr>
        <w:ilvl w:val="0"/>
        <w:numId w:val="3"/>
      </w:numPr>
      <w:spacing w:before="260" w:after="260" w:lineRule="auto" w:line="415"/>
      <w:ind w:firstLine="200"/>
      <w:outlineLvl w:val="2"/>
    </w:pPr>
    <w:rPr>
      <w:bCs/>
      <w:szCs w:val="32"/>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94">
    <w:name w:val="Normal (Web)"/>
    <w:basedOn w:val="style0"/>
    <w:next w:val="style94"/>
    <w:uiPriority w:val="99"/>
    <w:pPr>
      <w:spacing w:beforeAutospacing="true" w:afterAutospacing="true"/>
      <w:jc w:val="left"/>
    </w:pPr>
    <w:rPr>
      <w:rFonts w:cs="Times New Roman"/>
      <w:kern w:val="0"/>
      <w:sz w:val="24"/>
    </w:rPr>
  </w:style>
  <w:style w:type="character" w:styleId="style87">
    <w:name w:val="Strong"/>
    <w:basedOn w:val="style65"/>
    <w:next w:val="style87"/>
    <w:qFormat/>
    <w:uiPriority w:val="22"/>
    <w:rPr>
      <w:b/>
    </w:rPr>
  </w:style>
  <w:style w:type="paragraph" w:styleId="style179">
    <w:name w:val="List Paragraph"/>
    <w:basedOn w:val="style0"/>
    <w:next w:val="style179"/>
    <w:qFormat/>
    <w:uiPriority w:val="34"/>
    <w:pPr>
      <w:ind w:firstLine="420"/>
    </w:pPr>
    <w:rPr/>
  </w:style>
  <w:style w:type="character" w:customStyle="1" w:styleId="style4097">
    <w:name w:val="标题 1 字符"/>
    <w:basedOn w:val="style65"/>
    <w:next w:val="style4097"/>
    <w:link w:val="style1"/>
    <w:uiPriority w:val="9"/>
    <w:rPr>
      <w:rFonts w:cs="Times New Roman (正文 CS 字体)" w:eastAsia="仿宋"/>
      <w:b/>
      <w:bCs/>
      <w:kern w:val="44"/>
      <w:sz w:val="32"/>
      <w:szCs w:val="44"/>
    </w:rPr>
  </w:style>
  <w:style w:type="paragraph" w:styleId="style62">
    <w:name w:val="Title"/>
    <w:basedOn w:val="style0"/>
    <w:next w:val="style0"/>
    <w:link w:val="style4098"/>
    <w:qFormat/>
    <w:uiPriority w:val="10"/>
    <w:pPr>
      <w:spacing w:before="240" w:after="60"/>
      <w:jc w:val="center"/>
      <w:outlineLvl w:val="0"/>
    </w:pPr>
    <w:rPr>
      <w:rFonts w:cs="Times New Roman (标题 CS)"/>
      <w:b/>
      <w:bCs/>
      <w:sz w:val="44"/>
      <w:szCs w:val="32"/>
    </w:rPr>
  </w:style>
  <w:style w:type="character" w:customStyle="1" w:styleId="style4098">
    <w:name w:val="标题 字符"/>
    <w:basedOn w:val="style65"/>
    <w:next w:val="style4098"/>
    <w:link w:val="style62"/>
    <w:uiPriority w:val="10"/>
    <w:rPr>
      <w:rFonts w:cs="Times New Roman (标题 CS)" w:eastAsia="仿宋"/>
      <w:b/>
      <w:bCs/>
      <w:kern w:val="2"/>
      <w:sz w:val="44"/>
      <w:szCs w:val="32"/>
    </w:rPr>
  </w:style>
  <w:style w:type="character" w:customStyle="1" w:styleId="style4099">
    <w:name w:val="标题 2 字符"/>
    <w:basedOn w:val="style65"/>
    <w:next w:val="style4099"/>
    <w:link w:val="style2"/>
    <w:uiPriority w:val="9"/>
    <w:rPr>
      <w:rFonts w:cs="Times New Roman (标题 CS)" w:eastAsia="仿宋"/>
      <w:bCs/>
      <w:kern w:val="2"/>
      <w:sz w:val="32"/>
      <w:szCs w:val="32"/>
    </w:rPr>
  </w:style>
  <w:style w:type="character" w:customStyle="1" w:styleId="style4100">
    <w:name w:val="标题 3 字符"/>
    <w:basedOn w:val="style65"/>
    <w:next w:val="style4100"/>
    <w:link w:val="style3"/>
    <w:uiPriority w:val="9"/>
    <w:rPr>
      <w:rFonts w:cs="Times New Roman (正文 CS 字体)" w:eastAsia="仿宋"/>
      <w:bCs/>
      <w:kern w:val="2"/>
      <w:sz w:val="32"/>
      <w:szCs w:val="32"/>
    </w:rPr>
  </w:style>
  <w:style w:type="paragraph" w:styleId="style32">
    <w:name w:val="footer"/>
    <w:basedOn w:val="style0"/>
    <w:next w:val="style32"/>
    <w:link w:val="style4101"/>
    <w:uiPriority w:val="99"/>
    <w:pPr>
      <w:tabs>
        <w:tab w:val="center" w:leader="none" w:pos="4153"/>
        <w:tab w:val="right" w:leader="none" w:pos="8306"/>
      </w:tabs>
      <w:snapToGrid w:val="false"/>
      <w:spacing w:lineRule="auto" w:line="240"/>
      <w:jc w:val="left"/>
    </w:pPr>
    <w:rPr>
      <w:sz w:val="18"/>
      <w:szCs w:val="18"/>
    </w:rPr>
  </w:style>
  <w:style w:type="character" w:customStyle="1" w:styleId="style4101">
    <w:name w:val="页脚 字符"/>
    <w:basedOn w:val="style65"/>
    <w:next w:val="style4101"/>
    <w:link w:val="style32"/>
    <w:uiPriority w:val="99"/>
    <w:rPr>
      <w:rFonts w:cs="Times New Roman (正文 CS 字体)" w:eastAsia="仿宋"/>
      <w:kern w:val="2"/>
      <w:sz w:val="18"/>
      <w:szCs w:val="18"/>
    </w:rPr>
  </w:style>
  <w:style w:type="character" w:styleId="style41">
    <w:name w:val="page number"/>
    <w:basedOn w:val="style65"/>
    <w:next w:val="style41"/>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Words>1021</Words>
  <Pages>4</Pages>
  <Characters>1050</Characters>
  <Application>WPS Office</Application>
  <DocSecurity>0</DocSecurity>
  <Paragraphs>59</Paragraphs>
  <ScaleCrop>false</ScaleCrop>
  <Company>神州网信技术有限公司</Company>
  <LinksUpToDate>false</LinksUpToDate>
  <CharactersWithSpaces>1111</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2023-03-22T08:53:00Z</dcterms:created>
  <dc:creator>zsw</dc:creator>
  <lastModifiedBy>PFDM00</lastModifiedBy>
  <lastPrinted>2023-03-21T05:25:00Z</lastPrinted>
  <dcterms:modified xsi:type="dcterms:W3CDTF">2023-03-27T04:14:46Z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44E86F60740847989B7921CAB2502E0F</vt:lpwstr>
  </property>
</Properties>
</file>