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12934">
      <w:pPr>
        <w:spacing w:line="420" w:lineRule="exact"/>
        <w:ind w:firstLine="560" w:firstLineChars="200"/>
        <w:jc w:val="left"/>
        <w:rPr>
          <w:rFonts w:hint="default" w:ascii="宋体" w:hAnsi="宋体" w:eastAsia="宋体" w:cs="宋体"/>
          <w:b w:val="0"/>
          <w:bCs/>
          <w:kern w:val="0"/>
          <w:sz w:val="28"/>
          <w:szCs w:val="28"/>
          <w:lang w:val="en-US" w:eastAsia="zh-CN"/>
        </w:rPr>
      </w:pPr>
      <w:r>
        <w:rPr>
          <w:rFonts w:hint="eastAsia" w:ascii="宋体" w:hAnsi="宋体" w:cs="宋体"/>
          <w:b w:val="0"/>
          <w:bCs/>
          <w:kern w:val="0"/>
          <w:sz w:val="28"/>
          <w:szCs w:val="28"/>
          <w:lang w:val="en-US" w:eastAsia="zh-CN"/>
        </w:rPr>
        <w:t>附件1</w:t>
      </w:r>
    </w:p>
    <w:p w14:paraId="36BFC005">
      <w:pPr>
        <w:spacing w:line="420" w:lineRule="exact"/>
        <w:ind w:firstLine="643" w:firstLineChars="200"/>
        <w:jc w:val="center"/>
        <w:rPr>
          <w:rFonts w:ascii="宋体" w:hAnsi="宋体" w:cs="宋体"/>
          <w:b/>
          <w:kern w:val="0"/>
          <w:sz w:val="32"/>
          <w:szCs w:val="32"/>
          <w:lang w:val="zh-CN"/>
        </w:rPr>
      </w:pPr>
      <w:r>
        <w:rPr>
          <w:rFonts w:hint="eastAsia" w:ascii="宋体" w:hAnsi="宋体" w:cs="宋体"/>
          <w:b/>
          <w:kern w:val="0"/>
          <w:sz w:val="32"/>
          <w:szCs w:val="32"/>
          <w:lang w:val="zh-CN"/>
        </w:rPr>
        <w:t>海南热带海洋学院采购需求清单</w:t>
      </w:r>
    </w:p>
    <w:tbl>
      <w:tblPr>
        <w:tblStyle w:val="2"/>
        <w:tblpPr w:leftFromText="180" w:rightFromText="180" w:vertAnchor="text" w:horzAnchor="page" w:tblpX="1566" w:tblpY="171"/>
        <w:tblOverlap w:val="never"/>
        <w:tblW w:w="14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706"/>
        <w:gridCol w:w="808"/>
        <w:gridCol w:w="1331"/>
        <w:gridCol w:w="4980"/>
        <w:gridCol w:w="760"/>
        <w:gridCol w:w="560"/>
        <w:gridCol w:w="1344"/>
        <w:gridCol w:w="1401"/>
        <w:gridCol w:w="765"/>
      </w:tblGrid>
      <w:tr w14:paraId="0DBB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exact"/>
        </w:trPr>
        <w:tc>
          <w:tcPr>
            <w:tcW w:w="710" w:type="dxa"/>
            <w:noWrap w:val="0"/>
            <w:vAlign w:val="center"/>
          </w:tcPr>
          <w:p w14:paraId="54C24516">
            <w:pPr>
              <w:spacing w:line="420" w:lineRule="exact"/>
              <w:jc w:val="center"/>
              <w:rPr>
                <w:rFonts w:ascii="宋体" w:hAnsi="宋体" w:cs="宋体"/>
                <w:b/>
                <w:sz w:val="24"/>
              </w:rPr>
            </w:pPr>
            <w:r>
              <w:rPr>
                <w:rFonts w:hint="eastAsia" w:ascii="宋体" w:hAnsi="宋体" w:cs="宋体"/>
                <w:b/>
                <w:sz w:val="24"/>
              </w:rPr>
              <w:t>序号</w:t>
            </w:r>
          </w:p>
        </w:tc>
        <w:tc>
          <w:tcPr>
            <w:tcW w:w="1706" w:type="dxa"/>
            <w:noWrap w:val="0"/>
            <w:vAlign w:val="center"/>
          </w:tcPr>
          <w:p w14:paraId="74B05B17">
            <w:pPr>
              <w:spacing w:line="420" w:lineRule="exact"/>
              <w:jc w:val="center"/>
              <w:rPr>
                <w:rFonts w:ascii="宋体" w:hAnsi="宋体" w:cs="宋体"/>
                <w:b/>
                <w:sz w:val="24"/>
              </w:rPr>
            </w:pPr>
            <w:r>
              <w:rPr>
                <w:rFonts w:hint="eastAsia" w:ascii="宋体" w:hAnsi="宋体" w:cs="宋体"/>
                <w:b/>
                <w:sz w:val="24"/>
              </w:rPr>
              <w:t>采购</w:t>
            </w:r>
            <w:r>
              <w:rPr>
                <w:rFonts w:hint="eastAsia" w:ascii="宋体" w:hAnsi="宋体" w:cs="宋体"/>
                <w:b/>
                <w:sz w:val="24"/>
                <w:lang w:eastAsia="zh-CN"/>
              </w:rPr>
              <w:t>标的</w:t>
            </w:r>
            <w:r>
              <w:rPr>
                <w:rFonts w:hint="eastAsia" w:ascii="宋体" w:hAnsi="宋体" w:cs="宋体"/>
                <w:b/>
                <w:sz w:val="24"/>
              </w:rPr>
              <w:t>名称</w:t>
            </w:r>
          </w:p>
        </w:tc>
        <w:tc>
          <w:tcPr>
            <w:tcW w:w="808" w:type="dxa"/>
            <w:noWrap w:val="0"/>
            <w:vAlign w:val="center"/>
          </w:tcPr>
          <w:p w14:paraId="05E0A469">
            <w:pPr>
              <w:spacing w:line="420" w:lineRule="exact"/>
              <w:jc w:val="center"/>
              <w:rPr>
                <w:rFonts w:hint="eastAsia" w:ascii="宋体" w:hAnsi="宋体" w:cs="宋体"/>
                <w:b/>
                <w:sz w:val="24"/>
                <w:lang w:eastAsia="zh-CN"/>
              </w:rPr>
            </w:pPr>
            <w:r>
              <w:rPr>
                <w:rFonts w:hint="eastAsia" w:ascii="宋体" w:hAnsi="宋体" w:cs="宋体"/>
                <w:b/>
                <w:sz w:val="24"/>
                <w:lang w:eastAsia="zh-CN"/>
              </w:rPr>
              <w:t>品目分类编码</w:t>
            </w:r>
          </w:p>
          <w:p w14:paraId="35BDF863">
            <w:pPr>
              <w:spacing w:line="420" w:lineRule="exact"/>
              <w:jc w:val="center"/>
              <w:rPr>
                <w:rFonts w:hint="default" w:ascii="宋体" w:hAnsi="宋体" w:cs="宋体"/>
                <w:b/>
                <w:sz w:val="24"/>
                <w:lang w:val="en-US"/>
              </w:rPr>
            </w:pPr>
            <w:r>
              <w:rPr>
                <w:rFonts w:hint="eastAsia" w:ascii="宋体" w:hAnsi="宋体" w:cs="宋体"/>
                <w:b/>
                <w:color w:val="0000FF"/>
                <w:sz w:val="21"/>
                <w:szCs w:val="21"/>
                <w:lang w:val="en-US" w:eastAsia="zh-CN"/>
              </w:rPr>
              <w:t>(特殊情况应备注)</w:t>
            </w:r>
          </w:p>
        </w:tc>
        <w:tc>
          <w:tcPr>
            <w:tcW w:w="1331" w:type="dxa"/>
            <w:noWrap w:val="0"/>
            <w:vAlign w:val="center"/>
          </w:tcPr>
          <w:p w14:paraId="560AD847">
            <w:pPr>
              <w:spacing w:line="420" w:lineRule="exact"/>
              <w:jc w:val="center"/>
              <w:rPr>
                <w:rFonts w:ascii="宋体" w:hAnsi="宋体" w:eastAsia="宋体" w:cs="宋体"/>
                <w:b/>
                <w:kern w:val="2"/>
                <w:sz w:val="24"/>
                <w:szCs w:val="24"/>
                <w:lang w:val="en-US" w:eastAsia="zh-CN" w:bidi="ar-SA"/>
              </w:rPr>
            </w:pPr>
            <w:r>
              <w:rPr>
                <w:rFonts w:hint="eastAsia" w:ascii="宋体" w:hAnsi="宋体" w:cs="宋体"/>
                <w:b/>
                <w:sz w:val="24"/>
              </w:rPr>
              <w:t>参考品牌、型号</w:t>
            </w:r>
          </w:p>
        </w:tc>
        <w:tc>
          <w:tcPr>
            <w:tcW w:w="4980" w:type="dxa"/>
            <w:noWrap w:val="0"/>
            <w:vAlign w:val="center"/>
          </w:tcPr>
          <w:p w14:paraId="38AAD55B">
            <w:pPr>
              <w:spacing w:line="420" w:lineRule="exact"/>
              <w:jc w:val="center"/>
              <w:rPr>
                <w:rFonts w:ascii="宋体" w:hAnsi="宋体" w:eastAsia="宋体" w:cs="宋体"/>
                <w:b/>
                <w:kern w:val="2"/>
                <w:sz w:val="24"/>
                <w:szCs w:val="24"/>
                <w:lang w:val="en-US" w:eastAsia="zh-CN" w:bidi="ar-SA"/>
              </w:rPr>
            </w:pPr>
            <w:r>
              <w:rPr>
                <w:rFonts w:hint="eastAsia" w:ascii="宋体" w:hAnsi="宋体" w:cs="宋体"/>
                <w:b/>
                <w:sz w:val="24"/>
              </w:rPr>
              <w:t>技术参数</w:t>
            </w:r>
          </w:p>
        </w:tc>
        <w:tc>
          <w:tcPr>
            <w:tcW w:w="760" w:type="dxa"/>
            <w:noWrap w:val="0"/>
            <w:vAlign w:val="center"/>
          </w:tcPr>
          <w:p w14:paraId="21C3FB88">
            <w:pPr>
              <w:spacing w:line="420" w:lineRule="exact"/>
              <w:jc w:val="center"/>
              <w:rPr>
                <w:rFonts w:ascii="宋体" w:hAnsi="宋体" w:cs="宋体"/>
                <w:b/>
                <w:sz w:val="24"/>
              </w:rPr>
            </w:pPr>
            <w:r>
              <w:rPr>
                <w:rFonts w:hint="eastAsia" w:ascii="宋体" w:hAnsi="宋体" w:cs="宋体"/>
                <w:b/>
                <w:sz w:val="24"/>
                <w:lang w:eastAsia="zh-CN"/>
              </w:rPr>
              <w:t>计量</w:t>
            </w:r>
            <w:r>
              <w:rPr>
                <w:rFonts w:hint="eastAsia" w:ascii="宋体" w:hAnsi="宋体" w:cs="宋体"/>
                <w:b/>
                <w:sz w:val="24"/>
              </w:rPr>
              <w:t>单位</w:t>
            </w:r>
          </w:p>
        </w:tc>
        <w:tc>
          <w:tcPr>
            <w:tcW w:w="560" w:type="dxa"/>
            <w:noWrap w:val="0"/>
            <w:vAlign w:val="center"/>
          </w:tcPr>
          <w:p w14:paraId="5776D732">
            <w:pPr>
              <w:spacing w:line="420" w:lineRule="exact"/>
              <w:jc w:val="center"/>
              <w:rPr>
                <w:rFonts w:ascii="宋体" w:hAnsi="宋体" w:cs="宋体"/>
                <w:b/>
                <w:sz w:val="24"/>
              </w:rPr>
            </w:pPr>
            <w:r>
              <w:rPr>
                <w:rFonts w:hint="eastAsia" w:ascii="宋体" w:hAnsi="宋体" w:cs="宋体"/>
                <w:b/>
                <w:sz w:val="24"/>
              </w:rPr>
              <w:t>数量</w:t>
            </w:r>
          </w:p>
        </w:tc>
        <w:tc>
          <w:tcPr>
            <w:tcW w:w="1344" w:type="dxa"/>
            <w:noWrap w:val="0"/>
            <w:vAlign w:val="center"/>
          </w:tcPr>
          <w:p w14:paraId="3A2D3D2B">
            <w:pPr>
              <w:spacing w:line="420" w:lineRule="exact"/>
              <w:jc w:val="center"/>
              <w:rPr>
                <w:rFonts w:hint="eastAsia" w:ascii="宋体" w:hAnsi="宋体" w:eastAsia="宋体" w:cs="宋体"/>
                <w:b/>
                <w:kern w:val="2"/>
                <w:sz w:val="24"/>
                <w:szCs w:val="24"/>
                <w:lang w:val="en-US" w:eastAsia="zh-CN" w:bidi="ar-SA"/>
              </w:rPr>
            </w:pPr>
            <w:r>
              <w:rPr>
                <w:rFonts w:hint="eastAsia" w:ascii="宋体" w:hAnsi="宋体" w:cs="宋体"/>
                <w:b/>
                <w:sz w:val="24"/>
              </w:rPr>
              <w:t>单价</w:t>
            </w:r>
            <w:r>
              <w:rPr>
                <w:rFonts w:hint="eastAsia" w:ascii="宋体" w:hAnsi="宋体" w:cs="宋体"/>
                <w:b/>
                <w:sz w:val="24"/>
                <w:lang w:eastAsia="zh-CN"/>
              </w:rPr>
              <w:t>（</w:t>
            </w:r>
            <w:r>
              <w:rPr>
                <w:rFonts w:hint="eastAsia" w:ascii="宋体" w:hAnsi="宋体" w:cs="宋体"/>
                <w:b/>
                <w:sz w:val="24"/>
                <w:lang w:val="en-US" w:eastAsia="zh-CN"/>
              </w:rPr>
              <w:t>元</w:t>
            </w:r>
            <w:r>
              <w:rPr>
                <w:rFonts w:hint="eastAsia" w:ascii="宋体" w:hAnsi="宋体" w:cs="宋体"/>
                <w:b/>
                <w:sz w:val="24"/>
                <w:lang w:eastAsia="zh-CN"/>
              </w:rPr>
              <w:t>）</w:t>
            </w:r>
          </w:p>
        </w:tc>
        <w:tc>
          <w:tcPr>
            <w:tcW w:w="1401" w:type="dxa"/>
            <w:noWrap w:val="0"/>
            <w:vAlign w:val="center"/>
          </w:tcPr>
          <w:p w14:paraId="42C345E9">
            <w:pPr>
              <w:spacing w:line="420" w:lineRule="exact"/>
              <w:jc w:val="center"/>
              <w:rPr>
                <w:rFonts w:hint="eastAsia" w:ascii="宋体" w:hAnsi="宋体" w:eastAsia="宋体" w:cs="宋体"/>
                <w:b/>
                <w:kern w:val="2"/>
                <w:sz w:val="24"/>
                <w:szCs w:val="24"/>
                <w:lang w:val="en-US" w:eastAsia="zh-CN" w:bidi="ar-SA"/>
              </w:rPr>
            </w:pPr>
            <w:r>
              <w:rPr>
                <w:rFonts w:hint="eastAsia" w:ascii="宋体" w:hAnsi="宋体" w:cs="宋体"/>
                <w:b/>
                <w:sz w:val="24"/>
                <w:lang w:eastAsia="zh-CN"/>
              </w:rPr>
              <w:t>小计（</w:t>
            </w:r>
            <w:r>
              <w:rPr>
                <w:rFonts w:hint="eastAsia" w:ascii="宋体" w:hAnsi="宋体" w:cs="宋体"/>
                <w:b/>
                <w:sz w:val="24"/>
                <w:lang w:val="en-US" w:eastAsia="zh-CN"/>
              </w:rPr>
              <w:t>元</w:t>
            </w:r>
            <w:r>
              <w:rPr>
                <w:rFonts w:hint="eastAsia" w:ascii="宋体" w:hAnsi="宋体" w:cs="宋体"/>
                <w:b/>
                <w:sz w:val="24"/>
                <w:lang w:eastAsia="zh-CN"/>
              </w:rPr>
              <w:t>）</w:t>
            </w:r>
          </w:p>
        </w:tc>
        <w:tc>
          <w:tcPr>
            <w:tcW w:w="765" w:type="dxa"/>
            <w:noWrap w:val="0"/>
            <w:vAlign w:val="center"/>
          </w:tcPr>
          <w:p w14:paraId="6B4FFC4D">
            <w:pPr>
              <w:spacing w:line="420" w:lineRule="exact"/>
              <w:jc w:val="center"/>
              <w:rPr>
                <w:rFonts w:hint="eastAsia" w:ascii="宋体" w:hAnsi="宋体" w:eastAsia="宋体" w:cs="宋体"/>
                <w:b/>
                <w:sz w:val="24"/>
                <w:lang w:eastAsia="zh-CN"/>
              </w:rPr>
            </w:pPr>
            <w:r>
              <w:rPr>
                <w:rFonts w:hint="eastAsia" w:ascii="宋体" w:hAnsi="宋体" w:cs="宋体"/>
                <w:b/>
                <w:sz w:val="24"/>
                <w:lang w:eastAsia="zh-CN"/>
              </w:rPr>
              <w:t>是否进口</w:t>
            </w:r>
          </w:p>
        </w:tc>
      </w:tr>
      <w:tr w14:paraId="5478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10" w:type="dxa"/>
            <w:noWrap w:val="0"/>
            <w:vAlign w:val="center"/>
          </w:tcPr>
          <w:p w14:paraId="2F847ACD">
            <w:pPr>
              <w:spacing w:line="420" w:lineRule="exact"/>
              <w:jc w:val="center"/>
              <w:rPr>
                <w:rFonts w:ascii="宋体" w:hAnsi="宋体" w:cs="宋体"/>
                <w:sz w:val="24"/>
              </w:rPr>
            </w:pPr>
            <w:r>
              <w:rPr>
                <w:rFonts w:hint="eastAsia" w:ascii="宋体" w:hAnsi="宋体" w:cs="宋体"/>
                <w:sz w:val="24"/>
              </w:rPr>
              <w:t>1</w:t>
            </w:r>
          </w:p>
        </w:tc>
        <w:tc>
          <w:tcPr>
            <w:tcW w:w="1706" w:type="dxa"/>
            <w:noWrap w:val="0"/>
            <w:vAlign w:val="center"/>
          </w:tcPr>
          <w:p w14:paraId="5E1177FA">
            <w:pPr>
              <w:spacing w:line="420" w:lineRule="exact"/>
              <w:jc w:val="center"/>
              <w:rPr>
                <w:rFonts w:hint="eastAsia" w:ascii="宋体" w:hAnsi="宋体" w:eastAsia="宋体" w:cs="宋体"/>
                <w:sz w:val="24"/>
                <w:lang w:val="en-US" w:eastAsia="zh-CN"/>
              </w:rPr>
            </w:pPr>
            <w:r>
              <w:rPr>
                <w:rFonts w:hint="eastAsia" w:ascii="宋体" w:hAnsi="宋体" w:cs="宋体"/>
                <w:b/>
                <w:sz w:val="24"/>
                <w:lang w:val="en-US" w:eastAsia="zh-CN"/>
              </w:rPr>
              <w:t>研究生自命题考试管理系统技术服务项目</w:t>
            </w:r>
          </w:p>
        </w:tc>
        <w:tc>
          <w:tcPr>
            <w:tcW w:w="808" w:type="dxa"/>
            <w:noWrap w:val="0"/>
            <w:vAlign w:val="center"/>
          </w:tcPr>
          <w:p w14:paraId="716C83F1">
            <w:pPr>
              <w:widowControl/>
              <w:spacing w:line="420" w:lineRule="exact"/>
              <w:jc w:val="both"/>
              <w:rPr>
                <w:rFonts w:ascii="宋体" w:hAnsi="宋体" w:cs="宋体"/>
                <w:sz w:val="24"/>
              </w:rPr>
            </w:pPr>
          </w:p>
        </w:tc>
        <w:tc>
          <w:tcPr>
            <w:tcW w:w="1331" w:type="dxa"/>
            <w:noWrap w:val="0"/>
            <w:vAlign w:val="center"/>
          </w:tcPr>
          <w:p w14:paraId="70B18C0F">
            <w:pPr>
              <w:widowControl/>
              <w:spacing w:line="420" w:lineRule="exact"/>
              <w:jc w:val="both"/>
              <w:rPr>
                <w:rFonts w:ascii="宋体" w:hAnsi="宋体" w:cs="宋体"/>
                <w:sz w:val="24"/>
              </w:rPr>
            </w:pPr>
          </w:p>
        </w:tc>
        <w:tc>
          <w:tcPr>
            <w:tcW w:w="4980" w:type="dxa"/>
            <w:noWrap w:val="0"/>
            <w:vAlign w:val="center"/>
          </w:tcPr>
          <w:p w14:paraId="04D30476">
            <w:pPr>
              <w:spacing w:line="40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命题系统需包含以下功能</w:t>
            </w:r>
            <w:r>
              <w:rPr>
                <w:rFonts w:hint="eastAsia" w:ascii="宋体" w:hAnsi="宋体" w:eastAsia="宋体" w:cs="宋体"/>
                <w:b/>
                <w:bCs/>
                <w:color w:val="auto"/>
                <w:sz w:val="24"/>
                <w:szCs w:val="24"/>
              </w:rPr>
              <w:t>：</w:t>
            </w:r>
          </w:p>
          <w:p w14:paraId="549C838B">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一.基础信息</w:t>
            </w:r>
            <w:r>
              <w:rPr>
                <w:rFonts w:hint="eastAsia" w:ascii="宋体" w:hAnsi="宋体" w:eastAsia="宋体" w:cs="宋体"/>
                <w:b/>
                <w:bCs/>
                <w:color w:val="auto"/>
                <w:kern w:val="2"/>
                <w:sz w:val="24"/>
                <w:szCs w:val="24"/>
                <w:lang w:val="en-US" w:eastAsia="zh-CN" w:bidi="ar-SA"/>
              </w:rPr>
              <w:tab/>
            </w:r>
          </w:p>
          <w:p w14:paraId="4856FE38">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1.考试年份：全局设置考试年份，考试时间等信息，系统根据本校自命题科目清单生成对应年份的A、B试卷。关键功能如下：</w:t>
            </w:r>
          </w:p>
          <w:p w14:paraId="0B57009F">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1)全局设置考试年份，考试时间等信息，系统根据本校自命题科目清单生成对应年份的A、B试卷。</w:t>
            </w:r>
          </w:p>
          <w:p w14:paraId="3A9CA039">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2)支持考试年份、考试时间维护。</w:t>
            </w:r>
          </w:p>
          <w:p w14:paraId="2A323694">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3)支持全局设置当前使用年份。</w:t>
            </w:r>
          </w:p>
          <w:p w14:paraId="60A2F371">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2.院系管理：采用树状结构维护院校的相关行政架构，包含学校、院系、专业及研究方向树状层级关系。关键功能如下：</w:t>
            </w:r>
          </w:p>
          <w:p w14:paraId="10928568">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1)采用树状结构维护院校的相关行政架构，包含学校、院系、专业及研究方向树状层级关系。</w:t>
            </w:r>
          </w:p>
          <w:p w14:paraId="4D827042">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2)支持学校、院系、专业及研究方向四级结构维护。</w:t>
            </w:r>
          </w:p>
          <w:p w14:paraId="131963C2">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3)支持研招网学院、专业、研究方向数据对接。</w:t>
            </w:r>
          </w:p>
          <w:p w14:paraId="6A3AE50F">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3.科目信息：维护本年份的自命题考试科目护相关的信息及科目考试大纲信息。关键功能如下：</w:t>
            </w:r>
          </w:p>
          <w:p w14:paraId="46D39BFE">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1)维护本年份的自命题考试科目相关信息及科目考试大纲信息。</w:t>
            </w:r>
          </w:p>
          <w:p w14:paraId="53A3A2BC">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2)支持自命题科目信息维护。</w:t>
            </w:r>
          </w:p>
          <w:p w14:paraId="072585E1">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3)支持科目的考试大纲及知识点信息维护。</w:t>
            </w:r>
          </w:p>
          <w:p w14:paraId="3AA4EB7B">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4)支持研招网科目信息数据对接。</w:t>
            </w:r>
          </w:p>
          <w:p w14:paraId="0E295D93">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二、考试管理</w:t>
            </w:r>
          </w:p>
          <w:p w14:paraId="76FC700A">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1.考点信息:维护各专业考试所涉及的考点相关信息。关键功能如下：</w:t>
            </w:r>
          </w:p>
          <w:p w14:paraId="1B8CEB2A">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1)维护各专业考试所涉及的考点相关信息。</w:t>
            </w:r>
          </w:p>
          <w:p w14:paraId="1CD10345">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2)支持考点相关信息维护。</w:t>
            </w:r>
          </w:p>
          <w:p w14:paraId="051C471D">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3)支持研招网考点信息数据对接。</w:t>
            </w:r>
          </w:p>
          <w:p w14:paraId="34E3AD5A">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2.报考信息：维护各专业考生相关的报考信息。关键功能如下：</w:t>
            </w:r>
          </w:p>
          <w:p w14:paraId="57F9976C">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1)维护各专业考生相关的报考信息。</w:t>
            </w:r>
          </w:p>
          <w:p w14:paraId="4D235CEE">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2)支持报考信息（考试科目、考试场次、考场号、座位号等）维护。</w:t>
            </w:r>
          </w:p>
          <w:p w14:paraId="4D652168">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3)支持研招网报考信息数据对接。</w:t>
            </w:r>
          </w:p>
          <w:p w14:paraId="01EFB901">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3.考卷信息：维护考生与需要考试科目的关联信息，每名考生每个考试科目为一份试卷。关键功能如下：</w:t>
            </w:r>
          </w:p>
          <w:p w14:paraId="411DB0A7">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1)维护考生与需要考试科目的关联信息，每名考生每个考试科目为一份试卷。</w:t>
            </w:r>
          </w:p>
          <w:p w14:paraId="138C9E42">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2)支持考卷信息自动生成。</w:t>
            </w:r>
          </w:p>
          <w:p w14:paraId="2497AF10">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3)支持考场座位信息导入。</w:t>
            </w:r>
          </w:p>
          <w:p w14:paraId="4CF48E74">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4)支持考生成绩、缺考信息导出。</w:t>
            </w:r>
          </w:p>
          <w:p w14:paraId="768956E7">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4.缺考统计：针对学生考试缺考信息统计。关键功能如下：</w:t>
            </w:r>
          </w:p>
          <w:p w14:paraId="0EEE4AC1">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1)针对学生考试缺考信息统计。</w:t>
            </w:r>
          </w:p>
          <w:p w14:paraId="077190E5">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2)支持缺考按科目、按考点统计。</w:t>
            </w:r>
          </w:p>
          <w:p w14:paraId="474BC61C">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3)支持按人工标记、扫描标记方式统计。</w:t>
            </w:r>
          </w:p>
          <w:p w14:paraId="5751608E">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三、命题管理</w:t>
            </w:r>
          </w:p>
          <w:p w14:paraId="2E8F3AFF">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1.命题用户：维护各科目生成相关的命题老师账号，命题老师根据分配的账号即可开展相关的命题工作，命题老师首次登陆需完善相关的个人基本信息。关键功能如下：</w:t>
            </w:r>
          </w:p>
          <w:p w14:paraId="72DD7E04">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1)维护各科目相关的命题账号信息。</w:t>
            </w:r>
          </w:p>
          <w:p w14:paraId="0E55837E">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2)支持命题账号相关信息维护。</w:t>
            </w:r>
          </w:p>
          <w:p w14:paraId="34C388A6">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3)支持命题账号自动生成、单个及批量生成。</w:t>
            </w:r>
          </w:p>
          <w:p w14:paraId="203548CE">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4)支持命题账号导出。</w:t>
            </w:r>
          </w:p>
          <w:p w14:paraId="48855142">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5)支持命题账号导入。</w:t>
            </w:r>
          </w:p>
          <w:p w14:paraId="5A6A4DF9">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6)支持按试卷类型分配命题老师。</w:t>
            </w:r>
          </w:p>
          <w:p w14:paraId="261B5E5A">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7)支持命题组长标识功能。</w:t>
            </w:r>
          </w:p>
          <w:p w14:paraId="0363FDE8">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8)支持命题账号密码重置及密码修改。</w:t>
            </w:r>
          </w:p>
          <w:p w14:paraId="6AEAF4E1">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2.试卷管理：管理全部的试卷信息,包含试卷新增、生成试卷、合并试卷、生成答题卡和试卷、试卷启用/禁用、试卷命题、答案编辑、打印答案、删除、审批相关功能。关键功能如下：</w:t>
            </w:r>
          </w:p>
          <w:p w14:paraId="78ECE514">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1)维护研考所需要的试卷信息，涵盖试卷命题的整个过程。</w:t>
            </w:r>
          </w:p>
          <w:p w14:paraId="3C27F8D9">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2)支持向导式（基础信息、题型配置、试题命制、答案配置、提交审核确认）试卷命题。</w:t>
            </w:r>
          </w:p>
          <w:p w14:paraId="05E3A363">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3)支持同科目的两套试卷合并生成新的试卷。</w:t>
            </w:r>
          </w:p>
          <w:p w14:paraId="05DFF553">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4)支持通过word文件导入生成试卷。</w:t>
            </w:r>
          </w:p>
          <w:p w14:paraId="6C53B063">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5)支持音乐、美术等多种试卷格式。</w:t>
            </w:r>
          </w:p>
          <w:p w14:paraId="2BFE4860">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6)支持A、B卷等多类型试卷命制。</w:t>
            </w:r>
          </w:p>
          <w:p w14:paraId="05F34D5E">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7)支持历年试卷结构复用。</w:t>
            </w:r>
          </w:p>
          <w:p w14:paraId="03CA664B">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8)支持试卷在线预览及试卷文件在线生成。</w:t>
            </w:r>
          </w:p>
          <w:p w14:paraId="32654261">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9)支持答题卡在线预览及答题卡文件在线生成。</w:t>
            </w:r>
          </w:p>
          <w:p w14:paraId="45611A3C">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10)支持按试卷生成与之匹配的答题卡。</w:t>
            </w:r>
          </w:p>
          <w:p w14:paraId="787B5755">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11)支持按考生信息批量生成带条码的答题卡。</w:t>
            </w:r>
          </w:p>
          <w:p w14:paraId="37687F6B">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12)支持预试卷览式答案编辑及答案打印。</w:t>
            </w:r>
          </w:p>
          <w:p w14:paraId="11D7A614">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3.试卷命题：试卷命题可以采用向导方式开展（包含试卷基础信息编辑、题型配置、试题命制、答案配置、确认）。关键功能如下：</w:t>
            </w:r>
          </w:p>
          <w:p w14:paraId="2C40FCF3">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1)支持预览时试题编辑。</w:t>
            </w:r>
          </w:p>
          <w:p w14:paraId="6799735B">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2)支持题库选题。</w:t>
            </w:r>
          </w:p>
          <w:p w14:paraId="3840BE8F">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3)支持试卷卷面分值。</w:t>
            </w:r>
          </w:p>
          <w:p w14:paraId="65F0288B">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4)支持连续题号及按大题设置题号</w:t>
            </w:r>
          </w:p>
          <w:p w14:paraId="2A2AEDAE">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5)支持试题分值、题干、选项、答案、试题解析等试题内容的设置。</w:t>
            </w:r>
          </w:p>
          <w:p w14:paraId="6A1E9E84">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6)支持不少于单选题、多选题、判断题、填空题、名词解释、简答题、论述题、综合题、其它等题型格式命题。</w:t>
            </w:r>
          </w:p>
          <w:p w14:paraId="28215403">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7)支持题干、答案、试题解析等内容富文本格式编辑、图片等信息插入。</w:t>
            </w:r>
          </w:p>
          <w:p w14:paraId="75563A58">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8)支持MathType公司插件应用，包含不少于函数、概率、方程、导数、积分、矩阵及各类符号的在线编辑。</w:t>
            </w:r>
          </w:p>
          <w:p w14:paraId="39567E34">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9)支持按大题上移、下移方式试卷在线排版及选题方式装配试卷。</w:t>
            </w:r>
          </w:p>
          <w:p w14:paraId="6D04A225">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10)支持题型内小题上移、下移在线排版。</w:t>
            </w:r>
          </w:p>
          <w:p w14:paraId="066569D2">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11)支持主观题答题区域大小设置及按区域生成与之对应的答题卡。</w:t>
            </w:r>
          </w:p>
          <w:p w14:paraId="7C6D051B">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12)支持题型种类、试卷分值等试卷完整性内容校验。</w:t>
            </w:r>
          </w:p>
          <w:p w14:paraId="6BA91F15">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13)支持本卷查重、库内试卷查重。</w:t>
            </w:r>
          </w:p>
          <w:p w14:paraId="77F77804">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14)支持试题审核、回退等流程处理。</w:t>
            </w:r>
          </w:p>
          <w:p w14:paraId="05C60A29">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4.题库管理：试题管理、批量导入导出、查重去重、分类标签、检索筛选、质量分析、实现试题全生命周期规范化管理。</w:t>
            </w:r>
          </w:p>
          <w:p w14:paraId="150F73C3">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1)支持试题手动编辑。</w:t>
            </w:r>
          </w:p>
          <w:p w14:paraId="29EBE9F0">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2)支持试题word导入。</w:t>
            </w:r>
          </w:p>
          <w:p w14:paraId="4D534D96">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3)支持历史试卷转入。</w:t>
            </w:r>
          </w:p>
          <w:p w14:paraId="3702C85F">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5.历史卷库：用于实现历史试卷的信息化存储管理，同时为试卷命题的查重提供相应的数据支撑。关键功能如下：</w:t>
            </w:r>
          </w:p>
          <w:p w14:paraId="570F3300">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1)支持往期历史试卷信息化存储。</w:t>
            </w:r>
          </w:p>
          <w:p w14:paraId="4DB5FCA8">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2)支持往期历史试卷信息及试题信息检索展示。</w:t>
            </w:r>
          </w:p>
          <w:p w14:paraId="24090C0D">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3)支持往期历史试卷及答题卡在线预览。</w:t>
            </w:r>
          </w:p>
          <w:p w14:paraId="7D7B974B">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4)支持通过word文件导入历史卷库信息。</w:t>
            </w:r>
          </w:p>
          <w:p w14:paraId="44D37086">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四、命题客户端</w:t>
            </w:r>
          </w:p>
          <w:p w14:paraId="4B105F83">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命题老师可以通过命题端按任务式开展协同命制（多名老师可以同时命制一套试卷试题）。关键功能如下：</w:t>
            </w:r>
          </w:p>
          <w:p w14:paraId="7A9E56BB">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1.命题老师可以通过命题端按任务式开展协同命制。</w:t>
            </w:r>
          </w:p>
          <w:p w14:paraId="36EF75F9">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2.支持按任务式查看待完成的命题任务。</w:t>
            </w:r>
          </w:p>
          <w:p w14:paraId="3A1946AB">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3.支持多个老师协同开展同一份试卷命题。</w:t>
            </w:r>
          </w:p>
          <w:p w14:paraId="4C770CA5">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4.支持在线预览式命题处理。</w:t>
            </w:r>
          </w:p>
          <w:p w14:paraId="10C58E17">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五、封印对接</w:t>
            </w:r>
          </w:p>
          <w:p w14:paraId="5264230A">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命题系统提供各类试卷、答题卡、考生试卷生成功能；答题卡生成可以根据考试安排信息将条形码生成到答题卡上；答题卡生成可以根据考试安排信息将条形码生成到答题卡上。</w:t>
            </w:r>
          </w:p>
          <w:p w14:paraId="7DCEA15B">
            <w:pPr>
              <w:spacing w:line="400" w:lineRule="exact"/>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阅卷系统需包含以下功能：</w:t>
            </w:r>
          </w:p>
          <w:p w14:paraId="6C61A72D">
            <w:pPr>
              <w:spacing w:line="400" w:lineRule="exact"/>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一、前提条件</w:t>
            </w:r>
          </w:p>
          <w:p w14:paraId="68C60B89">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1.阅卷系统需要依赖命题系统的资源才能正常使用。</w:t>
            </w:r>
          </w:p>
          <w:p w14:paraId="5636428D">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2.阅卷配置的相关参数需要依赖命题系统产生的试卷、试题存在。</w:t>
            </w:r>
          </w:p>
          <w:p w14:paraId="0DAC340E">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3.答题卡扫描需要依赖于命题系统生成在答题卡上的考生条形码进行识别归档。</w:t>
            </w:r>
          </w:p>
          <w:p w14:paraId="415E5976">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4.客观题自动阅卷需要依赖命题系统的试卷、答题卡及答案信息完成自动识别阅卷。</w:t>
            </w:r>
          </w:p>
          <w:p w14:paraId="324D2B2E">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5.主观题人工阅卷中的任务分配需要依赖命题系统产生的试题信息，阅卷过程的答案参考需要依赖命题系统中的试题答案信息。</w:t>
            </w:r>
          </w:p>
          <w:p w14:paraId="7BBD83C7">
            <w:pPr>
              <w:spacing w:line="400" w:lineRule="exact"/>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二、阅卷管理</w:t>
            </w:r>
          </w:p>
          <w:p w14:paraId="7280500B">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阅卷配置：主要用于完成阅卷用户（维护各科目生成相关的阅卷老师账号）、阅卷模式（根据各类阅卷管理需要维护相关的配置，实现阅卷规则性处理）、统分方式（设置选做题的计分方式）相关阅卷规则的信息配置。关键功能如下：</w:t>
            </w:r>
          </w:p>
          <w:p w14:paraId="29A14574">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1)支持阅卷账号相关信息维护。</w:t>
            </w:r>
          </w:p>
          <w:p w14:paraId="1201A3ED">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2)支持阅卷账号自动生成、单个及批量生成。</w:t>
            </w:r>
          </w:p>
          <w:p w14:paraId="3C95E9FB">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3)支持阅卷账号导出。</w:t>
            </w:r>
          </w:p>
          <w:p w14:paraId="04457059">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4)支持阅卷账号导入。</w:t>
            </w:r>
          </w:p>
          <w:p w14:paraId="42BD58A5">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5)支持阅卷组长标识功能。</w:t>
            </w:r>
          </w:p>
          <w:p w14:paraId="255AA5A4">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6)支持阅卷用户密码重置及密码修改。</w:t>
            </w:r>
          </w:p>
          <w:p w14:paraId="4EABF759">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7)支持一键初始化方式对所有待阅试卷生成基础阅卷配置。</w:t>
            </w:r>
          </w:p>
          <w:p w14:paraId="544C55E4">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8)支持对每份试卷开展评级开关、阅卷方式（分题阅、全卷阅）、阅卷次数（单阅、双阅）、合分策略（平均分、最高分、最低分）的阅卷规则配置。</w:t>
            </w:r>
          </w:p>
          <w:p w14:paraId="0946533F">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9)支持对试卷进行阅卷分组配置，达到按题、按组分配阅卷任务。</w:t>
            </w:r>
          </w:p>
          <w:p w14:paraId="6318D546">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10)支持按试题设置间隔分及仲裁阈值规则。</w:t>
            </w:r>
          </w:p>
          <w:p w14:paraId="29F98227">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11)支持批量生成阅卷分组配置信息模版。</w:t>
            </w:r>
          </w:p>
          <w:p w14:paraId="61038278">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12)支持批量导入阅卷分组及题目配置信息。</w:t>
            </w:r>
          </w:p>
          <w:p w14:paraId="576E22B1">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13)对选做题及多选题开展统分方式配置。</w:t>
            </w:r>
          </w:p>
          <w:p w14:paraId="434F541A">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14)支持对多选题进行漏选不得分、漏选平均给分、漏选固定得分统分配置。</w:t>
            </w:r>
          </w:p>
          <w:p w14:paraId="739D89A8">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15)支持对选做题进行最高分、指定专业、组合答题统分配置。</w:t>
            </w:r>
          </w:p>
          <w:p w14:paraId="5F168AE0">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16)支持根据试卷批量生成统分方式配置模版。</w:t>
            </w:r>
          </w:p>
          <w:p w14:paraId="7085C2F1">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17)支持批量导入统分方式配置。</w:t>
            </w:r>
          </w:p>
          <w:p w14:paraId="12EEBEC8">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2.答卷扫描：用于考生试卷回收后将答题卡扫描到系统，试卷拆封后、经过高速扫描设备扫描成电子文件并进行归档。关键功能如下：</w:t>
            </w:r>
          </w:p>
          <w:p w14:paraId="31EFA845">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1)对试后收回的答题卡进行扫描电子化处理。</w:t>
            </w:r>
          </w:p>
          <w:p w14:paraId="40E730B8">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2)支持按批次扫描答题卡及自动归档处理。</w:t>
            </w:r>
          </w:p>
          <w:p w14:paraId="28AE83A2">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3)支持对扫描记录一键归档处理。</w:t>
            </w:r>
          </w:p>
          <w:p w14:paraId="16C6D998">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4)支持对扫描答题卡按批次归档处理。</w:t>
            </w:r>
          </w:p>
          <w:p w14:paraId="7556EFA9">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5)支持对扫描答题卡明细查看。</w:t>
            </w:r>
          </w:p>
          <w:p w14:paraId="3BEBBCBA">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6)支持对异常答题卡人工处理。</w:t>
            </w:r>
          </w:p>
          <w:p w14:paraId="363D11CD">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3.缺页试卷：基于考试答题卡页数及回收的考生答题卡页数系统可以自动展示考生缺页的信息。关键功能如下：</w:t>
            </w:r>
          </w:p>
          <w:p w14:paraId="4EA215F1">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1)支持对缺页的答题卡进行分析统计。</w:t>
            </w:r>
          </w:p>
          <w:p w14:paraId="6C0D3002">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试题切割：根据阅卷模式对答题卡文件进行主观题按试题切片处理；客观题可以开展AI识别自动阅卷处理，主观题阅卷时老师可以根据分配任务开展单题快速阅卷处理；通过试题切割可以防止阅卷时考生敏感信息出现，保障阅卷保密安全。关键功能如下：</w:t>
            </w:r>
          </w:p>
          <w:p w14:paraId="781C031B">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1)支持对答题卡敏感进行切除处理。</w:t>
            </w:r>
          </w:p>
          <w:p w14:paraId="0BC24FF8">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2)支持对答题卡客观题按题型切片处理。</w:t>
            </w:r>
          </w:p>
          <w:p w14:paraId="4785CADC">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3)支持对答题卡主观题按题切片处理。</w:t>
            </w:r>
          </w:p>
          <w:p w14:paraId="34A11CE4">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5.试题识别：针对客观题系统基于AI开展自动识别阅卷处理。关键功能如下：</w:t>
            </w:r>
          </w:p>
          <w:p w14:paraId="0E1BB55B">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1)支持对客观题自动阅卷处理。</w:t>
            </w:r>
          </w:p>
          <w:p w14:paraId="3E0FB6C3">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2)支持自动识别作答不规范的答题卡。</w:t>
            </w:r>
          </w:p>
          <w:p w14:paraId="13739712">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6.人工识别：针对考生作答不规范的情况，系统提供异常识别人工核验功能。关键功能如下：</w:t>
            </w:r>
          </w:p>
          <w:p w14:paraId="718E6015">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1)支持对作答不规范的答题卡进行人工核验处理。</w:t>
            </w:r>
          </w:p>
          <w:p w14:paraId="631F6F9B">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7.识别审核：提供专门的入口人工对客观题的再次确认。关键功能如下：</w:t>
            </w:r>
          </w:p>
          <w:p w14:paraId="22E292FF">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1)支持人工核验客观题打分记录。</w:t>
            </w:r>
          </w:p>
          <w:p w14:paraId="2BDE163F">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8.扫描进度：实时跟踪扫描的进度，支持按考点和科目统计扫描进度。关键功能如下：</w:t>
            </w:r>
          </w:p>
          <w:p w14:paraId="52E386C4">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1)支持按科目、考点统计相关的扫描进度。</w:t>
            </w:r>
          </w:p>
          <w:p w14:paraId="027658DF">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9.阅卷详情：以考卷维度展示相关试卷的阅卷情况，包含试卷切割处理、详情查看、删除、开始审核、考试成绩导出功能。关键功能如下：</w:t>
            </w:r>
          </w:p>
          <w:p w14:paraId="45371661">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1)支持以考卷维度查看相关的答题卡、考卷得分信息。</w:t>
            </w:r>
          </w:p>
          <w:p w14:paraId="004545F9">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2)支持对试卷每道题的阅卷明细查看。</w:t>
            </w:r>
          </w:p>
          <w:p w14:paraId="43556E00">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3)支持一键开始每份试卷逐卷审核处理。</w:t>
            </w:r>
          </w:p>
          <w:p w14:paraId="68FC4073">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10.评级列表：针对美术专业的试卷可以开展相关的评级处理。关键功能如下：</w:t>
            </w:r>
          </w:p>
          <w:p w14:paraId="03731D33">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1)支持对阅卷评级结果查看。</w:t>
            </w:r>
          </w:p>
          <w:p w14:paraId="3F5669AF">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11.阅卷进度：可以按照科目统计相关的进度情况（阅卷总数、待阅数量、已阅数量及阅卷进行百分比）。关键功能如下：</w:t>
            </w:r>
          </w:p>
          <w:p w14:paraId="1A215668">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1)支持从阅卷总数、待阅数量、已阅数量及阅卷进行百分比维度查看阅卷进度。</w:t>
            </w:r>
          </w:p>
          <w:p w14:paraId="2BEE0573">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12.待阅列表：可以查相关的还未完成的阅卷任务信息。关键功能如下：</w:t>
            </w:r>
          </w:p>
          <w:p w14:paraId="3225761C">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1)支持对未完成的阅卷任务查看。</w:t>
            </w:r>
          </w:p>
          <w:p w14:paraId="72FF4AA0">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13.已阅列表：可以查看阅卷老师已经完成阅卷的阅卷。关键功能如下：</w:t>
            </w:r>
          </w:p>
          <w:p w14:paraId="312BA075">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1)支持对已完成的阅卷任务查看。</w:t>
            </w:r>
          </w:p>
          <w:p w14:paraId="466E2256">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14.异常列表：可以查看阅卷过程中阅卷老师上报的异常信息并进行异常处理。关键功能如下：</w:t>
            </w:r>
          </w:p>
          <w:p w14:paraId="1DFFBCBF">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1)支持查看阅卷老师上报的异常记录。</w:t>
            </w:r>
          </w:p>
          <w:p w14:paraId="6DEC919F">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2)支持对异常记录进行处理操作。</w:t>
            </w:r>
          </w:p>
          <w:p w14:paraId="3FCBCB38">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15.零分审核：展现相关的零分的试题信息，针对零分试题老师可以开展审核确认处理。关键功能如下：</w:t>
            </w:r>
          </w:p>
          <w:p w14:paraId="35D55D97">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1)支持对阅卷打零分的记录进行审核处理。</w:t>
            </w:r>
          </w:p>
          <w:p w14:paraId="136856C0">
            <w:pPr>
              <w:spacing w:line="400" w:lineRule="exact"/>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三、阅卷客户端</w:t>
            </w:r>
          </w:p>
          <w:p w14:paraId="15DEA924">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用于阅卷老师开展相关的阅卷工作，阅卷老师根据平台管理人员分派的账号登录系统即可看到分配给自己的阅卷任务;阅卷端主要提供评级列表、待阅列表、已阅列表、评分统计、考卷信息相关功能。关键功能如下：</w:t>
            </w:r>
          </w:p>
          <w:p w14:paraId="68174624">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1.支持阅卷老师待阅任务查看。</w:t>
            </w:r>
          </w:p>
          <w:p w14:paraId="201C0C16">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2.支持一键开始阅卷处理。</w:t>
            </w:r>
          </w:p>
          <w:p w14:paraId="56BFA29D">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3.如果待阅任务为分题阅模式，阅卷过程支持单题试题切片进行阅卷，跨页答题支持多切片拼接阅卷。</w:t>
            </w:r>
          </w:p>
          <w:p w14:paraId="26FBA348">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4.如果待阅任务为全卷阅模式，阅卷过程支持全卷答题卡显示，并且可以对各题进行批量打分处理。</w:t>
            </w:r>
          </w:p>
          <w:p w14:paraId="70C6D1B9">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5.阅卷过程支持鼠标模式打分。</w:t>
            </w:r>
          </w:p>
          <w:p w14:paraId="0293035D">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6.阅卷过程支持键盘模式打分。</w:t>
            </w:r>
          </w:p>
          <w:p w14:paraId="7EA2D3A4">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7.阅卷过程支持轨迹模式打分。</w:t>
            </w:r>
          </w:p>
          <w:p w14:paraId="5588F0E3">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8.阅卷过程支持上报异常处理。</w:t>
            </w:r>
          </w:p>
          <w:p w14:paraId="5DA8D854">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9.阅卷过程支持阅完一题自动进入下一题阅卷。</w:t>
            </w:r>
          </w:p>
          <w:p w14:paraId="25D16F51">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10.阅卷过程支持阅卷任务总数、待阅数、已阅数实时统计功能。</w:t>
            </w:r>
          </w:p>
          <w:p w14:paraId="0F31C12F">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11.双阅模式如果老师给分差异超过阈值，支持自动给组长生成阅卷任务。</w:t>
            </w:r>
          </w:p>
          <w:p w14:paraId="73B1F68D">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12.支持已阅任务及打分明细查看。</w:t>
            </w:r>
          </w:p>
          <w:p w14:paraId="787E4FBC">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13.支持按科目、按大题、按小题统计阅卷得分情况（平均分、最大分、最小分）。</w:t>
            </w:r>
          </w:p>
          <w:p w14:paraId="3A30270E">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14.支持按科目得分区间分布统计。</w:t>
            </w:r>
          </w:p>
          <w:p w14:paraId="0FFE77BA">
            <w:pPr>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15.支持评卷审核、退回处理。</w:t>
            </w:r>
          </w:p>
          <w:p w14:paraId="6672B9FF">
            <w:pPr>
              <w:keepNext w:val="0"/>
              <w:keepLines w:val="0"/>
              <w:pageBreakBefore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16.支持评卷结果重评处理。</w:t>
            </w:r>
          </w:p>
        </w:tc>
        <w:tc>
          <w:tcPr>
            <w:tcW w:w="760" w:type="dxa"/>
            <w:noWrap w:val="0"/>
            <w:vAlign w:val="center"/>
          </w:tcPr>
          <w:p w14:paraId="3BBA3D08">
            <w:pPr>
              <w:spacing w:line="420" w:lineRule="exact"/>
              <w:jc w:val="center"/>
              <w:rPr>
                <w:rFonts w:hint="eastAsia" w:ascii="宋体" w:hAnsi="宋体" w:eastAsia="宋体" w:cs="宋体"/>
                <w:sz w:val="24"/>
                <w:lang w:val="en-US" w:eastAsia="zh-CN"/>
              </w:rPr>
            </w:pPr>
            <w:r>
              <w:rPr>
                <w:rFonts w:hint="eastAsia" w:ascii="宋体" w:hAnsi="宋体" w:cs="宋体"/>
                <w:sz w:val="24"/>
                <w:lang w:val="en-US" w:eastAsia="zh-CN"/>
              </w:rPr>
              <w:t>套</w:t>
            </w:r>
          </w:p>
        </w:tc>
        <w:tc>
          <w:tcPr>
            <w:tcW w:w="560" w:type="dxa"/>
            <w:noWrap w:val="0"/>
            <w:vAlign w:val="center"/>
          </w:tcPr>
          <w:p w14:paraId="32BE05D4">
            <w:pPr>
              <w:spacing w:line="420" w:lineRule="exact"/>
              <w:jc w:val="center"/>
              <w:rPr>
                <w:rFonts w:hint="eastAsia" w:ascii="宋体" w:hAnsi="宋体" w:eastAsia="宋体" w:cs="宋体"/>
                <w:sz w:val="24"/>
                <w:lang w:val="en-US" w:eastAsia="zh-CN"/>
              </w:rPr>
            </w:pPr>
            <w:r>
              <w:rPr>
                <w:rFonts w:hint="eastAsia" w:ascii="宋体" w:hAnsi="宋体" w:cs="宋体"/>
                <w:sz w:val="24"/>
                <w:lang w:val="en-US" w:eastAsia="zh-CN"/>
              </w:rPr>
              <w:t>1</w:t>
            </w:r>
          </w:p>
        </w:tc>
        <w:tc>
          <w:tcPr>
            <w:tcW w:w="1344" w:type="dxa"/>
            <w:noWrap w:val="0"/>
            <w:vAlign w:val="center"/>
          </w:tcPr>
          <w:p w14:paraId="0F5AF9B1">
            <w:pPr>
              <w:spacing w:line="420" w:lineRule="exact"/>
              <w:jc w:val="center"/>
              <w:rPr>
                <w:rFonts w:hint="default" w:ascii="宋体" w:hAnsi="宋体" w:eastAsia="宋体" w:cs="宋体"/>
                <w:sz w:val="24"/>
                <w:lang w:val="en-US" w:eastAsia="zh-CN"/>
              </w:rPr>
            </w:pPr>
            <w:r>
              <w:rPr>
                <w:rFonts w:hint="eastAsia" w:ascii="宋体" w:hAnsi="宋体" w:cs="宋体"/>
                <w:sz w:val="24"/>
                <w:lang w:val="en-US" w:eastAsia="zh-CN"/>
              </w:rPr>
              <w:t>190000.00</w:t>
            </w:r>
          </w:p>
        </w:tc>
        <w:tc>
          <w:tcPr>
            <w:tcW w:w="1401" w:type="dxa"/>
            <w:noWrap w:val="0"/>
            <w:vAlign w:val="center"/>
          </w:tcPr>
          <w:p w14:paraId="1F0A15A5">
            <w:pPr>
              <w:spacing w:line="420" w:lineRule="exact"/>
              <w:jc w:val="center"/>
              <w:rPr>
                <w:rFonts w:hint="default" w:ascii="宋体" w:hAnsi="宋体" w:eastAsia="宋体" w:cs="宋体"/>
                <w:sz w:val="24"/>
                <w:lang w:val="en-US" w:eastAsia="zh-CN"/>
              </w:rPr>
            </w:pPr>
            <w:r>
              <w:rPr>
                <w:rFonts w:hint="eastAsia" w:ascii="宋体" w:hAnsi="宋体" w:cs="宋体"/>
                <w:sz w:val="24"/>
                <w:lang w:val="en-US" w:eastAsia="zh-CN"/>
              </w:rPr>
              <w:t>190000.00</w:t>
            </w:r>
          </w:p>
        </w:tc>
        <w:tc>
          <w:tcPr>
            <w:tcW w:w="765" w:type="dxa"/>
            <w:noWrap w:val="0"/>
            <w:vAlign w:val="center"/>
          </w:tcPr>
          <w:p w14:paraId="7F10E3E8">
            <w:pPr>
              <w:spacing w:line="420" w:lineRule="exact"/>
              <w:jc w:val="center"/>
              <w:rPr>
                <w:rFonts w:hint="eastAsia" w:ascii="宋体" w:hAnsi="宋体" w:eastAsia="宋体" w:cs="宋体"/>
                <w:sz w:val="24"/>
                <w:lang w:val="en-US" w:eastAsia="zh-CN"/>
              </w:rPr>
            </w:pPr>
            <w:r>
              <w:rPr>
                <w:rFonts w:hint="eastAsia" w:ascii="宋体" w:hAnsi="宋体" w:cs="宋体"/>
                <w:sz w:val="24"/>
                <w:lang w:val="en-US" w:eastAsia="zh-CN"/>
              </w:rPr>
              <w:t>否</w:t>
            </w:r>
          </w:p>
        </w:tc>
      </w:tr>
      <w:tr w14:paraId="2982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2416" w:type="dxa"/>
            <w:gridSpan w:val="2"/>
            <w:noWrap w:val="0"/>
            <w:vAlign w:val="center"/>
          </w:tcPr>
          <w:p w14:paraId="037A751C">
            <w:pPr>
              <w:spacing w:line="420" w:lineRule="exact"/>
              <w:jc w:val="center"/>
              <w:rPr>
                <w:rFonts w:hint="eastAsia" w:ascii="宋体" w:hAnsi="宋体" w:eastAsia="宋体"/>
                <w:sz w:val="24"/>
                <w:lang w:eastAsia="zh-CN"/>
              </w:rPr>
            </w:pPr>
            <w:bookmarkStart w:id="0" w:name="_GoBack"/>
            <w:bookmarkEnd w:id="0"/>
            <w:r>
              <w:rPr>
                <w:rFonts w:hint="eastAsia" w:ascii="宋体" w:hAnsi="宋体"/>
                <w:sz w:val="24"/>
              </w:rPr>
              <w:t>金额合计</w:t>
            </w:r>
            <w:r>
              <w:rPr>
                <w:rFonts w:hint="eastAsia" w:ascii="宋体" w:hAnsi="宋体"/>
                <w:sz w:val="24"/>
                <w:lang w:eastAsia="zh-CN"/>
              </w:rPr>
              <w:t>（</w:t>
            </w:r>
            <w:r>
              <w:rPr>
                <w:rFonts w:hint="eastAsia" w:ascii="宋体" w:hAnsi="宋体"/>
                <w:sz w:val="24"/>
                <w:lang w:val="en-US" w:eastAsia="zh-CN"/>
              </w:rPr>
              <w:t>元</w:t>
            </w:r>
            <w:r>
              <w:rPr>
                <w:rFonts w:hint="eastAsia" w:ascii="宋体" w:hAnsi="宋体"/>
                <w:sz w:val="24"/>
                <w:lang w:eastAsia="zh-CN"/>
              </w:rPr>
              <w:t>）</w:t>
            </w:r>
          </w:p>
        </w:tc>
        <w:tc>
          <w:tcPr>
            <w:tcW w:w="11949" w:type="dxa"/>
            <w:gridSpan w:val="8"/>
            <w:noWrap w:val="0"/>
            <w:vAlign w:val="center"/>
          </w:tcPr>
          <w:p w14:paraId="253F52CD">
            <w:pPr>
              <w:spacing w:line="420" w:lineRule="exact"/>
              <w:jc w:val="center"/>
              <w:rPr>
                <w:rFonts w:hint="default" w:ascii="宋体" w:hAnsi="宋体" w:eastAsia="宋体"/>
                <w:sz w:val="24"/>
                <w:lang w:val="en-US" w:eastAsia="zh-CN"/>
              </w:rPr>
            </w:pPr>
            <w:r>
              <w:rPr>
                <w:rFonts w:hint="eastAsia" w:ascii="宋体" w:hAnsi="宋体"/>
                <w:sz w:val="24"/>
                <w:lang w:val="en-US" w:eastAsia="zh-CN"/>
              </w:rPr>
              <w:t>190000.00</w:t>
            </w:r>
          </w:p>
        </w:tc>
      </w:tr>
    </w:tbl>
    <w:p w14:paraId="6CA84841"/>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mOTg5Yzg1ODU4MTVjN2UzZWEyYThmOTg0NTBlNzcifQ=="/>
  </w:docVars>
  <w:rsids>
    <w:rsidRoot w:val="00000000"/>
    <w:rsid w:val="025203BC"/>
    <w:rsid w:val="04D74983"/>
    <w:rsid w:val="064B6387"/>
    <w:rsid w:val="0B763B16"/>
    <w:rsid w:val="10926466"/>
    <w:rsid w:val="11291EAD"/>
    <w:rsid w:val="12555129"/>
    <w:rsid w:val="12A63E41"/>
    <w:rsid w:val="130C0B1B"/>
    <w:rsid w:val="13333EA9"/>
    <w:rsid w:val="15F77252"/>
    <w:rsid w:val="19FB5FCA"/>
    <w:rsid w:val="1C136791"/>
    <w:rsid w:val="1D3318B0"/>
    <w:rsid w:val="1D781BBE"/>
    <w:rsid w:val="1F203367"/>
    <w:rsid w:val="1F666509"/>
    <w:rsid w:val="22DB6DA2"/>
    <w:rsid w:val="27B0758A"/>
    <w:rsid w:val="280F63BD"/>
    <w:rsid w:val="29BC3991"/>
    <w:rsid w:val="2B9B40AD"/>
    <w:rsid w:val="2D4F25D9"/>
    <w:rsid w:val="2FCE64DD"/>
    <w:rsid w:val="322C1B32"/>
    <w:rsid w:val="3BBA0580"/>
    <w:rsid w:val="3CA05045"/>
    <w:rsid w:val="3EC5328B"/>
    <w:rsid w:val="4152240F"/>
    <w:rsid w:val="46AA72F1"/>
    <w:rsid w:val="47060B81"/>
    <w:rsid w:val="47850CE9"/>
    <w:rsid w:val="489C1664"/>
    <w:rsid w:val="4C9B233C"/>
    <w:rsid w:val="4E30022D"/>
    <w:rsid w:val="4FDF6819"/>
    <w:rsid w:val="507372FF"/>
    <w:rsid w:val="52CA53DB"/>
    <w:rsid w:val="57223FD4"/>
    <w:rsid w:val="584E1E16"/>
    <w:rsid w:val="591A0A98"/>
    <w:rsid w:val="5B117888"/>
    <w:rsid w:val="5CA16EC6"/>
    <w:rsid w:val="60632263"/>
    <w:rsid w:val="69D61E6F"/>
    <w:rsid w:val="6A5135AE"/>
    <w:rsid w:val="6B544C4D"/>
    <w:rsid w:val="6BEF307E"/>
    <w:rsid w:val="6C0D3D89"/>
    <w:rsid w:val="6C9A2285"/>
    <w:rsid w:val="6DBB50FD"/>
    <w:rsid w:val="6F5D2EB3"/>
    <w:rsid w:val="6FFB0243"/>
    <w:rsid w:val="70DD3DED"/>
    <w:rsid w:val="721A5CCE"/>
    <w:rsid w:val="756232D4"/>
    <w:rsid w:val="766B04BE"/>
    <w:rsid w:val="766D599B"/>
    <w:rsid w:val="7A015F55"/>
    <w:rsid w:val="7B6273C9"/>
    <w:rsid w:val="7D346ED8"/>
    <w:rsid w:val="7E0F44BF"/>
    <w:rsid w:val="7E365C24"/>
    <w:rsid w:val="7FCE00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4669</Words>
  <Characters>4902</Characters>
  <Lines>0</Lines>
  <Paragraphs>0</Paragraphs>
  <TotalTime>1</TotalTime>
  <ScaleCrop>false</ScaleCrop>
  <LinksUpToDate>false</LinksUpToDate>
  <CharactersWithSpaces>4903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2023-09-15T08:05:00Z</dcterms:created>
  <dc:creator>Lenovo</dc:creator>
  <cp:lastModifiedBy>方方想吃方便面</cp:lastModifiedBy>
  <cp:lastPrinted>2026-09-16T01:58:00Z</cp:lastPrinted>
  <dcterms:modified xsi:type="dcterms:W3CDTF">2026-09-23T09:38:59Z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2AC8B9F61FAE494A98F0BB0216B68AB5_12</vt:lpwstr>
  </property>
  <property fmtid="{D5CDD505-2E9C-101B-9397-08002B2CF9AE}" pid="4" name="KSOTemplateDocerSaveRecord">
    <vt:lpwstr>eyJoZGlkIjoiZjI2NzA3MzUxYjk3ZTE3OTY3NzhmYTEwZTZlMzJkODgiLCJ1c2VySWQiOiI3MjU4MDQ4ODUifQ==</vt:lpwstr>
  </property>
</Properties>
</file>